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026" w:rsidRPr="00FE4026" w:rsidRDefault="00FE4026" w:rsidP="00FE4026">
      <w:pPr>
        <w:widowControl w:val="0"/>
        <w:jc w:val="center"/>
        <w:rPr>
          <w:rFonts w:ascii="Helvetica" w:hAnsi="Helvetica"/>
          <w:b/>
          <w:sz w:val="44"/>
          <w:szCs w:val="24"/>
          <w:lang w:val="es-MX"/>
        </w:rPr>
      </w:pPr>
      <w:r w:rsidRPr="00FE4026">
        <w:rPr>
          <w:rFonts w:ascii="Helvetica" w:hAnsi="Helvetica"/>
          <w:b/>
          <w:sz w:val="44"/>
          <w:szCs w:val="24"/>
          <w:lang w:val="es-MX"/>
        </w:rPr>
        <w:t>ANEXO A</w:t>
      </w:r>
    </w:p>
    <w:p w:rsidR="00FE4026" w:rsidRPr="00FE4026" w:rsidRDefault="00FE4026" w:rsidP="00FE4026">
      <w:pPr>
        <w:widowControl w:val="0"/>
        <w:jc w:val="center"/>
        <w:rPr>
          <w:rFonts w:ascii="Helvetica" w:hAnsi="Helvetica"/>
          <w:b/>
          <w:sz w:val="44"/>
          <w:szCs w:val="24"/>
          <w:lang w:val="es-MX"/>
        </w:rPr>
      </w:pPr>
      <w:r w:rsidRPr="00FE4026">
        <w:rPr>
          <w:rFonts w:ascii="Helvetica" w:hAnsi="Helvetica"/>
          <w:b/>
          <w:sz w:val="44"/>
          <w:szCs w:val="24"/>
          <w:lang w:val="es-MX"/>
        </w:rPr>
        <w:t>ESPECIFICACIONES DE LA POLIZA</w:t>
      </w:r>
    </w:p>
    <w:p w:rsidR="00FE4026" w:rsidRDefault="00FE4026" w:rsidP="00FE4026">
      <w:pPr>
        <w:widowControl w:val="0"/>
        <w:jc w:val="center"/>
        <w:rPr>
          <w:rFonts w:ascii="Helvetica" w:hAnsi="Helvetica"/>
          <w:b/>
          <w:sz w:val="44"/>
          <w:szCs w:val="24"/>
          <w:lang w:val="es-MX"/>
        </w:rPr>
      </w:pPr>
      <w:r w:rsidRPr="00FE4026">
        <w:rPr>
          <w:rFonts w:ascii="Helvetica" w:hAnsi="Helvetica"/>
          <w:b/>
          <w:sz w:val="44"/>
          <w:szCs w:val="24"/>
          <w:lang w:val="es-MX"/>
        </w:rPr>
        <w:t>SEGURO VEHICULAR PARA EL ISEP</w:t>
      </w:r>
    </w:p>
    <w:p w:rsidR="00FE4026" w:rsidRPr="00FE4026" w:rsidRDefault="00FE4026" w:rsidP="00FE4026">
      <w:pPr>
        <w:widowControl w:val="0"/>
        <w:jc w:val="center"/>
        <w:rPr>
          <w:rFonts w:ascii="Helvetica" w:hAnsi="Helvetica"/>
          <w:b/>
          <w:sz w:val="44"/>
          <w:szCs w:val="24"/>
          <w:lang w:val="es-MX"/>
        </w:rPr>
      </w:pPr>
    </w:p>
    <w:p w:rsidR="00FE4026" w:rsidRPr="009F1D4F" w:rsidRDefault="00FE4026" w:rsidP="00FE4026">
      <w:pPr>
        <w:shd w:val="clear" w:color="auto" w:fill="CCCCCC"/>
        <w:spacing w:line="26" w:lineRule="atLeast"/>
        <w:jc w:val="both"/>
        <w:rPr>
          <w:rFonts w:ascii="Calibri" w:hAnsi="Calibri" w:cs="Tahoma"/>
          <w:sz w:val="24"/>
          <w:szCs w:val="24"/>
        </w:rPr>
      </w:pPr>
      <w:r w:rsidRPr="009F1D4F">
        <w:rPr>
          <w:rFonts w:ascii="Calibri" w:hAnsi="Calibri" w:cs="Tahoma"/>
          <w:b/>
          <w:sz w:val="24"/>
          <w:szCs w:val="24"/>
        </w:rPr>
        <w:t>DEDUCIBLES</w:t>
      </w:r>
    </w:p>
    <w:p w:rsidR="00FE4026" w:rsidRPr="009F1D4F" w:rsidRDefault="00FE4026" w:rsidP="00FE4026">
      <w:pPr>
        <w:pStyle w:val="Ttulo1"/>
        <w:numPr>
          <w:ilvl w:val="0"/>
          <w:numId w:val="4"/>
        </w:numPr>
        <w:tabs>
          <w:tab w:val="left" w:pos="709"/>
        </w:tabs>
        <w:spacing w:before="0" w:after="0"/>
        <w:rPr>
          <w:rFonts w:ascii="Calibri" w:hAnsi="Calibri" w:cs="Arial"/>
          <w:sz w:val="24"/>
          <w:szCs w:val="24"/>
        </w:rPr>
      </w:pPr>
      <w:bookmarkStart w:id="0" w:name="OLE_LINK1"/>
      <w:bookmarkStart w:id="1" w:name="OLE_LINK2"/>
      <w:r w:rsidRPr="009F1D4F">
        <w:rPr>
          <w:rFonts w:ascii="Calibri" w:hAnsi="Calibri" w:cs="Arial"/>
          <w:sz w:val="24"/>
          <w:szCs w:val="24"/>
        </w:rPr>
        <w:t>COBERTURA AMPLIA  EN TERRITORIO NACIONAL PARA  LOS VEHÍCULOS:</w:t>
      </w:r>
    </w:p>
    <w:p w:rsidR="00FE4026" w:rsidRPr="009F1D4F" w:rsidRDefault="00FE4026" w:rsidP="00FE4026">
      <w:pPr>
        <w:rPr>
          <w:rFonts w:ascii="Calibri" w:hAnsi="Calibri" w:cs="Arial"/>
          <w:sz w:val="24"/>
          <w:szCs w:val="24"/>
        </w:rPr>
      </w:pPr>
    </w:p>
    <w:tbl>
      <w:tblPr>
        <w:tblW w:w="9237"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
        <w:gridCol w:w="2817"/>
        <w:gridCol w:w="2268"/>
        <w:gridCol w:w="3567"/>
      </w:tblGrid>
      <w:tr w:rsidR="00FE4026" w:rsidRPr="009F1D4F" w:rsidTr="00165B24">
        <w:tblPrEx>
          <w:tblCellMar>
            <w:top w:w="0" w:type="dxa"/>
            <w:bottom w:w="0" w:type="dxa"/>
          </w:tblCellMar>
        </w:tblPrEx>
        <w:trPr>
          <w:trHeight w:val="508"/>
        </w:trPr>
        <w:tc>
          <w:tcPr>
            <w:tcW w:w="585" w:type="dxa"/>
            <w:shd w:val="clear" w:color="auto" w:fill="D9D9D9"/>
            <w:vAlign w:val="center"/>
          </w:tcPr>
          <w:p w:rsidR="00FE4026" w:rsidRPr="009F1D4F" w:rsidRDefault="00FE4026" w:rsidP="00165B24">
            <w:pPr>
              <w:jc w:val="center"/>
              <w:rPr>
                <w:rFonts w:ascii="Calibri" w:hAnsi="Calibri" w:cs="Arial"/>
                <w:b/>
                <w:sz w:val="24"/>
                <w:szCs w:val="24"/>
              </w:rPr>
            </w:pPr>
          </w:p>
        </w:tc>
        <w:tc>
          <w:tcPr>
            <w:tcW w:w="2817" w:type="dxa"/>
            <w:shd w:val="clear" w:color="auto" w:fill="D9D9D9"/>
            <w:vAlign w:val="center"/>
          </w:tcPr>
          <w:p w:rsidR="00FE4026" w:rsidRPr="009F1D4F" w:rsidRDefault="00FE4026" w:rsidP="00165B24">
            <w:pPr>
              <w:jc w:val="center"/>
              <w:rPr>
                <w:rFonts w:ascii="Calibri" w:hAnsi="Calibri" w:cs="Arial"/>
                <w:b/>
                <w:sz w:val="24"/>
                <w:szCs w:val="24"/>
              </w:rPr>
            </w:pPr>
            <w:r w:rsidRPr="009F1D4F">
              <w:rPr>
                <w:rFonts w:ascii="Calibri" w:hAnsi="Calibri" w:cs="Arial"/>
                <w:b/>
                <w:sz w:val="24"/>
                <w:szCs w:val="24"/>
              </w:rPr>
              <w:t>Cobertura</w:t>
            </w:r>
          </w:p>
        </w:tc>
        <w:tc>
          <w:tcPr>
            <w:tcW w:w="2268" w:type="dxa"/>
            <w:shd w:val="clear" w:color="auto" w:fill="D9D9D9"/>
            <w:vAlign w:val="center"/>
          </w:tcPr>
          <w:p w:rsidR="00FE4026" w:rsidRPr="009F1D4F" w:rsidRDefault="00FE4026" w:rsidP="00165B24">
            <w:pPr>
              <w:jc w:val="center"/>
              <w:rPr>
                <w:rFonts w:ascii="Calibri" w:hAnsi="Calibri" w:cs="Arial"/>
                <w:b/>
                <w:sz w:val="24"/>
                <w:szCs w:val="24"/>
              </w:rPr>
            </w:pPr>
            <w:r w:rsidRPr="009F1D4F">
              <w:rPr>
                <w:rFonts w:ascii="Calibri" w:hAnsi="Calibri" w:cs="Arial"/>
                <w:b/>
                <w:sz w:val="24"/>
                <w:szCs w:val="24"/>
              </w:rPr>
              <w:t>Deducible</w:t>
            </w:r>
          </w:p>
        </w:tc>
        <w:tc>
          <w:tcPr>
            <w:tcW w:w="3567" w:type="dxa"/>
            <w:shd w:val="clear" w:color="auto" w:fill="D9D9D9"/>
            <w:vAlign w:val="center"/>
          </w:tcPr>
          <w:p w:rsidR="00FE4026" w:rsidRPr="00BE32EB" w:rsidRDefault="00FE4026" w:rsidP="00165B24">
            <w:pPr>
              <w:jc w:val="center"/>
            </w:pPr>
            <w:r w:rsidRPr="009F1D4F">
              <w:rPr>
                <w:rFonts w:ascii="Calibri" w:hAnsi="Calibri" w:cs="Arial"/>
                <w:b/>
                <w:sz w:val="24"/>
                <w:szCs w:val="24"/>
              </w:rPr>
              <w:t>Valores Asegurados</w:t>
            </w:r>
          </w:p>
        </w:tc>
      </w:tr>
      <w:tr w:rsidR="00FE4026" w:rsidRPr="009F1D4F" w:rsidTr="00165B24">
        <w:tblPrEx>
          <w:tblCellMar>
            <w:top w:w="0" w:type="dxa"/>
            <w:bottom w:w="0" w:type="dxa"/>
          </w:tblCellMar>
        </w:tblPrEx>
        <w:trPr>
          <w:trHeight w:val="1550"/>
        </w:trPr>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1</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 xml:space="preserve">Daño Material, total y parcial </w:t>
            </w:r>
          </w:p>
        </w:tc>
        <w:tc>
          <w:tcPr>
            <w:tcW w:w="2268"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5% del valor unidad</w:t>
            </w:r>
          </w:p>
        </w:tc>
        <w:tc>
          <w:tcPr>
            <w:tcW w:w="3567" w:type="dxa"/>
          </w:tcPr>
          <w:p w:rsidR="00FE4026" w:rsidRPr="009F1D4F" w:rsidRDefault="00FE4026" w:rsidP="00165B24">
            <w:pPr>
              <w:spacing w:after="240"/>
              <w:jc w:val="both"/>
              <w:rPr>
                <w:rFonts w:ascii="Calibri" w:hAnsi="Calibri" w:cs="Arial"/>
                <w:sz w:val="24"/>
                <w:szCs w:val="24"/>
              </w:rPr>
            </w:pPr>
            <w:r w:rsidRPr="009F1D4F">
              <w:rPr>
                <w:rFonts w:ascii="Calibri" w:hAnsi="Calibri" w:cs="Arial"/>
                <w:sz w:val="24"/>
                <w:szCs w:val="24"/>
              </w:rPr>
              <w:t>Valor alto de la Guía EBC o Blue  Book, en caso de automóviles o camiones fronterizos.</w:t>
            </w:r>
          </w:p>
          <w:p w:rsidR="00FE4026" w:rsidRPr="009F1D4F" w:rsidRDefault="00FE4026" w:rsidP="00165B24">
            <w:pPr>
              <w:spacing w:after="240"/>
              <w:jc w:val="both"/>
              <w:rPr>
                <w:rFonts w:ascii="Calibri" w:hAnsi="Calibri" w:cs="Arial"/>
                <w:sz w:val="24"/>
                <w:szCs w:val="24"/>
              </w:rPr>
            </w:pPr>
            <w:r>
              <w:rPr>
                <w:rFonts w:ascii="Calibri" w:hAnsi="Calibri" w:cs="Arial"/>
                <w:sz w:val="24"/>
                <w:szCs w:val="24"/>
              </w:rPr>
              <w:t>Para modelos nacionales 2016</w:t>
            </w:r>
            <w:r w:rsidRPr="009F1D4F">
              <w:rPr>
                <w:rFonts w:ascii="Calibri" w:hAnsi="Calibri" w:cs="Arial"/>
                <w:sz w:val="24"/>
                <w:szCs w:val="24"/>
              </w:rPr>
              <w:t>, el valor de indemnización será valor factura sin incluir el IVA.</w:t>
            </w:r>
          </w:p>
        </w:tc>
      </w:tr>
      <w:tr w:rsidR="00FE4026" w:rsidRPr="009F1D4F" w:rsidTr="00165B24">
        <w:tblPrEx>
          <w:tblCellMar>
            <w:top w:w="0" w:type="dxa"/>
            <w:bottom w:w="0" w:type="dxa"/>
          </w:tblCellMar>
        </w:tblPrEx>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2</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Cristales rotos</w:t>
            </w:r>
          </w:p>
        </w:tc>
        <w:tc>
          <w:tcPr>
            <w:tcW w:w="2268"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20% del valor del vidrio</w:t>
            </w:r>
          </w:p>
        </w:tc>
        <w:tc>
          <w:tcPr>
            <w:tcW w:w="356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 xml:space="preserve">Valor del Vidrio </w:t>
            </w:r>
            <w:r w:rsidRPr="009F1D4F">
              <w:rPr>
                <w:rFonts w:ascii="Calibri" w:hAnsi="Calibri" w:cs="Arial"/>
                <w:b/>
                <w:sz w:val="24"/>
                <w:szCs w:val="24"/>
              </w:rPr>
              <w:t>sin necesidad de la presencia del ajustador.</w:t>
            </w:r>
          </w:p>
        </w:tc>
      </w:tr>
      <w:tr w:rsidR="00FE4026" w:rsidRPr="009F1D4F" w:rsidTr="00165B24">
        <w:tblPrEx>
          <w:tblCellMar>
            <w:top w:w="0" w:type="dxa"/>
            <w:bottom w:w="0" w:type="dxa"/>
          </w:tblCellMar>
        </w:tblPrEx>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3</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Robo total</w:t>
            </w:r>
          </w:p>
        </w:tc>
        <w:tc>
          <w:tcPr>
            <w:tcW w:w="2268"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5% del valor de la unidad.</w:t>
            </w:r>
          </w:p>
        </w:tc>
        <w:tc>
          <w:tcPr>
            <w:tcW w:w="356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Valor Comercial</w:t>
            </w:r>
          </w:p>
        </w:tc>
      </w:tr>
      <w:tr w:rsidR="00FE4026" w:rsidRPr="009F1D4F" w:rsidTr="00165B24">
        <w:tblPrEx>
          <w:tblCellMar>
            <w:top w:w="0" w:type="dxa"/>
            <w:bottom w:w="0" w:type="dxa"/>
          </w:tblCellMar>
        </w:tblPrEx>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4</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Responsabilidad Civil</w:t>
            </w:r>
          </w:p>
        </w:tc>
        <w:tc>
          <w:tcPr>
            <w:tcW w:w="2268"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No aplica</w:t>
            </w:r>
          </w:p>
        </w:tc>
        <w:tc>
          <w:tcPr>
            <w:tcW w:w="356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$500,000.00 M.N.</w:t>
            </w:r>
          </w:p>
        </w:tc>
      </w:tr>
      <w:tr w:rsidR="00FE4026" w:rsidRPr="009F1D4F" w:rsidTr="00165B24">
        <w:tblPrEx>
          <w:tblCellMar>
            <w:top w:w="0" w:type="dxa"/>
            <w:bottom w:w="0" w:type="dxa"/>
          </w:tblCellMar>
        </w:tblPrEx>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5</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Gastos Médicos para Ocupantes</w:t>
            </w:r>
          </w:p>
        </w:tc>
        <w:tc>
          <w:tcPr>
            <w:tcW w:w="2268"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No aplica</w:t>
            </w:r>
          </w:p>
        </w:tc>
        <w:tc>
          <w:tcPr>
            <w:tcW w:w="356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 xml:space="preserve">$200,000.00 M.N. por evento </w:t>
            </w:r>
          </w:p>
        </w:tc>
      </w:tr>
      <w:tr w:rsidR="00FE4026" w:rsidRPr="009F1D4F" w:rsidTr="00165B24">
        <w:tblPrEx>
          <w:tblCellMar>
            <w:top w:w="0" w:type="dxa"/>
            <w:bottom w:w="0" w:type="dxa"/>
          </w:tblCellMar>
        </w:tblPrEx>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6</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Asistencia legal: Incluye Gastos de Abogado y Fianza</w:t>
            </w:r>
          </w:p>
        </w:tc>
        <w:tc>
          <w:tcPr>
            <w:tcW w:w="2268"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No aplica</w:t>
            </w:r>
          </w:p>
        </w:tc>
        <w:tc>
          <w:tcPr>
            <w:tcW w:w="356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500,000.00 M.N. por evento</w:t>
            </w:r>
          </w:p>
        </w:tc>
      </w:tr>
      <w:tr w:rsidR="00FE4026" w:rsidRPr="009F1D4F" w:rsidTr="00165B24">
        <w:tblPrEx>
          <w:tblCellMar>
            <w:top w:w="0" w:type="dxa"/>
            <w:bottom w:w="0" w:type="dxa"/>
          </w:tblCellMar>
        </w:tblPrEx>
        <w:tc>
          <w:tcPr>
            <w:tcW w:w="585"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7</w:t>
            </w:r>
          </w:p>
        </w:tc>
        <w:tc>
          <w:tcPr>
            <w:tcW w:w="281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 xml:space="preserve">Asistencia Vial: </w:t>
            </w:r>
          </w:p>
        </w:tc>
        <w:tc>
          <w:tcPr>
            <w:tcW w:w="2268"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No aplica</w:t>
            </w:r>
          </w:p>
        </w:tc>
        <w:tc>
          <w:tcPr>
            <w:tcW w:w="3567"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Costo de un mínimo de tres eventos por cada vehículo durante la vigencia de la póliza: grúa, combustible, refacciones y mano de obra, en carretera, zonas urbanas y zona rural</w:t>
            </w:r>
          </w:p>
        </w:tc>
      </w:tr>
    </w:tbl>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Default="00FE4026" w:rsidP="00FE4026">
      <w:pPr>
        <w:ind w:left="426" w:firstLine="283"/>
        <w:jc w:val="both"/>
        <w:rPr>
          <w:rFonts w:ascii="Calibri" w:hAnsi="Calibri" w:cs="Arial"/>
          <w:b/>
          <w:sz w:val="24"/>
          <w:szCs w:val="24"/>
        </w:rPr>
      </w:pPr>
    </w:p>
    <w:p w:rsidR="00FE4026" w:rsidRPr="009F1D4F" w:rsidRDefault="00FE4026" w:rsidP="00FE4026">
      <w:pPr>
        <w:ind w:left="426" w:firstLine="283"/>
        <w:jc w:val="both"/>
        <w:rPr>
          <w:rFonts w:ascii="Calibri" w:hAnsi="Calibri" w:cs="Arial"/>
          <w:b/>
          <w:sz w:val="24"/>
          <w:szCs w:val="24"/>
        </w:rPr>
      </w:pPr>
    </w:p>
    <w:p w:rsidR="00FE4026" w:rsidRPr="009F1D4F" w:rsidRDefault="00FE4026" w:rsidP="00FE4026">
      <w:pPr>
        <w:ind w:left="709" w:hanging="283"/>
        <w:jc w:val="both"/>
        <w:rPr>
          <w:rFonts w:ascii="Calibri" w:hAnsi="Calibri" w:cs="Arial"/>
          <w:b/>
          <w:sz w:val="24"/>
          <w:szCs w:val="24"/>
        </w:rPr>
      </w:pPr>
      <w:r w:rsidRPr="009F1D4F">
        <w:rPr>
          <w:rFonts w:ascii="Calibri" w:hAnsi="Calibri" w:cs="Arial"/>
          <w:b/>
          <w:sz w:val="24"/>
          <w:szCs w:val="24"/>
        </w:rPr>
        <w:t>2</w:t>
      </w:r>
      <w:r w:rsidRPr="009F1D4F">
        <w:rPr>
          <w:rFonts w:ascii="Calibri" w:hAnsi="Calibri" w:cs="Arial"/>
          <w:b/>
          <w:sz w:val="24"/>
          <w:szCs w:val="24"/>
          <w:u w:val="single"/>
        </w:rPr>
        <w:t>)</w:t>
      </w:r>
      <w:r w:rsidRPr="009F1D4F">
        <w:rPr>
          <w:rFonts w:ascii="Calibri" w:hAnsi="Calibri" w:cs="Arial"/>
          <w:b/>
          <w:sz w:val="24"/>
          <w:szCs w:val="24"/>
        </w:rPr>
        <w:t xml:space="preserve"> COBERTURA DE RESPONSABILIDAD CIVIL EN TERRITORIO NACIONAL PARA LOS VEHICULOS:</w:t>
      </w:r>
    </w:p>
    <w:p w:rsidR="00FE4026" w:rsidRPr="009F1D4F" w:rsidRDefault="00FE4026" w:rsidP="00FE4026">
      <w:pPr>
        <w:ind w:left="426"/>
        <w:jc w:val="both"/>
        <w:rPr>
          <w:rFonts w:ascii="Calibri" w:hAnsi="Calibri" w:cs="Arial"/>
          <w:b/>
          <w:sz w:val="24"/>
          <w:szCs w:val="24"/>
        </w:rPr>
      </w:pPr>
    </w:p>
    <w:tbl>
      <w:tblPr>
        <w:tblW w:w="93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118"/>
        <w:gridCol w:w="2126"/>
        <w:gridCol w:w="3494"/>
      </w:tblGrid>
      <w:tr w:rsidR="00FE4026" w:rsidRPr="009F1D4F" w:rsidTr="00165B24">
        <w:tblPrEx>
          <w:tblCellMar>
            <w:top w:w="0" w:type="dxa"/>
            <w:bottom w:w="0" w:type="dxa"/>
          </w:tblCellMar>
        </w:tblPrEx>
        <w:trPr>
          <w:trHeight w:val="462"/>
        </w:trPr>
        <w:tc>
          <w:tcPr>
            <w:tcW w:w="567" w:type="dxa"/>
            <w:shd w:val="clear" w:color="auto" w:fill="BFBFBF"/>
            <w:vAlign w:val="center"/>
          </w:tcPr>
          <w:p w:rsidR="00FE4026" w:rsidRPr="009F1D4F" w:rsidRDefault="00FE4026" w:rsidP="00165B24">
            <w:pPr>
              <w:ind w:left="426"/>
              <w:jc w:val="center"/>
              <w:rPr>
                <w:rFonts w:ascii="Calibri" w:hAnsi="Calibri" w:cs="Arial"/>
                <w:b/>
                <w:sz w:val="24"/>
                <w:szCs w:val="24"/>
              </w:rPr>
            </w:pPr>
          </w:p>
        </w:tc>
        <w:tc>
          <w:tcPr>
            <w:tcW w:w="3118" w:type="dxa"/>
            <w:shd w:val="clear" w:color="auto" w:fill="BFBFBF"/>
            <w:vAlign w:val="center"/>
          </w:tcPr>
          <w:p w:rsidR="00FE4026" w:rsidRPr="009F1D4F" w:rsidRDefault="00FE4026" w:rsidP="00165B24">
            <w:pPr>
              <w:pStyle w:val="Ttulo4"/>
              <w:ind w:left="426" w:firstLine="0"/>
              <w:jc w:val="center"/>
              <w:rPr>
                <w:rFonts w:ascii="Calibri" w:hAnsi="Calibri" w:cs="Arial"/>
                <w:sz w:val="24"/>
                <w:szCs w:val="24"/>
                <w:lang w:val="es-MX"/>
              </w:rPr>
            </w:pPr>
            <w:r w:rsidRPr="009F1D4F">
              <w:rPr>
                <w:rFonts w:ascii="Calibri" w:hAnsi="Calibri" w:cs="Arial"/>
                <w:sz w:val="24"/>
                <w:szCs w:val="24"/>
                <w:lang w:val="es-MX"/>
              </w:rPr>
              <w:t>Cobertura</w:t>
            </w:r>
          </w:p>
        </w:tc>
        <w:tc>
          <w:tcPr>
            <w:tcW w:w="2126" w:type="dxa"/>
            <w:shd w:val="clear" w:color="auto" w:fill="BFBFBF"/>
            <w:vAlign w:val="center"/>
          </w:tcPr>
          <w:p w:rsidR="00FE4026" w:rsidRPr="009F1D4F" w:rsidRDefault="00FE4026" w:rsidP="00165B24">
            <w:pPr>
              <w:pStyle w:val="Ttulo4"/>
              <w:ind w:left="426" w:firstLine="0"/>
              <w:jc w:val="center"/>
              <w:rPr>
                <w:rFonts w:ascii="Calibri" w:hAnsi="Calibri" w:cs="Arial"/>
                <w:sz w:val="24"/>
                <w:szCs w:val="24"/>
                <w:lang w:val="es-MX"/>
              </w:rPr>
            </w:pPr>
            <w:r w:rsidRPr="009F1D4F">
              <w:rPr>
                <w:rFonts w:ascii="Calibri" w:hAnsi="Calibri" w:cs="Arial"/>
                <w:sz w:val="24"/>
                <w:szCs w:val="24"/>
                <w:lang w:val="es-MX"/>
              </w:rPr>
              <w:t>Deducible</w:t>
            </w:r>
          </w:p>
        </w:tc>
        <w:tc>
          <w:tcPr>
            <w:tcW w:w="3494" w:type="dxa"/>
            <w:shd w:val="clear" w:color="auto" w:fill="BFBFBF"/>
            <w:vAlign w:val="center"/>
          </w:tcPr>
          <w:p w:rsidR="00FE4026" w:rsidRPr="009F1D4F" w:rsidRDefault="00FE4026" w:rsidP="00165B24">
            <w:pPr>
              <w:pStyle w:val="Ttulo4"/>
              <w:ind w:left="426" w:firstLine="0"/>
              <w:jc w:val="center"/>
              <w:rPr>
                <w:rFonts w:ascii="Calibri" w:hAnsi="Calibri" w:cs="Arial"/>
                <w:b w:val="0"/>
                <w:sz w:val="24"/>
                <w:szCs w:val="24"/>
                <w:lang w:val="es-MX"/>
              </w:rPr>
            </w:pPr>
            <w:r w:rsidRPr="009F1D4F">
              <w:rPr>
                <w:rFonts w:ascii="Calibri" w:hAnsi="Calibri" w:cs="Arial"/>
                <w:sz w:val="24"/>
                <w:szCs w:val="24"/>
                <w:lang w:val="es-MX"/>
              </w:rPr>
              <w:t>Suma Asegurada</w:t>
            </w:r>
          </w:p>
        </w:tc>
      </w:tr>
      <w:tr w:rsidR="00FE4026" w:rsidRPr="009F1D4F" w:rsidTr="00165B24">
        <w:tblPrEx>
          <w:tblCellMar>
            <w:top w:w="0" w:type="dxa"/>
            <w:bottom w:w="0" w:type="dxa"/>
          </w:tblCellMar>
        </w:tblPrEx>
        <w:trPr>
          <w:trHeight w:val="278"/>
        </w:trPr>
        <w:tc>
          <w:tcPr>
            <w:tcW w:w="567" w:type="dxa"/>
          </w:tcPr>
          <w:p w:rsidR="00FE4026" w:rsidRPr="009F1D4F" w:rsidRDefault="00FE4026" w:rsidP="00165B24">
            <w:pPr>
              <w:ind w:left="-26" w:firstLine="26"/>
              <w:jc w:val="center"/>
              <w:rPr>
                <w:rFonts w:ascii="Calibri" w:hAnsi="Calibri" w:cs="Arial"/>
                <w:sz w:val="24"/>
                <w:szCs w:val="24"/>
              </w:rPr>
            </w:pPr>
            <w:r w:rsidRPr="009F1D4F">
              <w:rPr>
                <w:rFonts w:ascii="Calibri" w:hAnsi="Calibri" w:cs="Arial"/>
                <w:sz w:val="24"/>
                <w:szCs w:val="24"/>
              </w:rPr>
              <w:t>1</w:t>
            </w:r>
          </w:p>
        </w:tc>
        <w:tc>
          <w:tcPr>
            <w:tcW w:w="3118" w:type="dxa"/>
          </w:tcPr>
          <w:p w:rsidR="00FE4026" w:rsidRPr="009F1D4F" w:rsidRDefault="00FE4026" w:rsidP="00165B24">
            <w:pPr>
              <w:ind w:left="426"/>
              <w:jc w:val="both"/>
              <w:rPr>
                <w:rFonts w:ascii="Calibri" w:hAnsi="Calibri" w:cs="Arial"/>
                <w:sz w:val="24"/>
                <w:szCs w:val="24"/>
              </w:rPr>
            </w:pPr>
            <w:r w:rsidRPr="009F1D4F">
              <w:rPr>
                <w:rFonts w:ascii="Calibri" w:hAnsi="Calibri" w:cs="Arial"/>
                <w:sz w:val="24"/>
                <w:szCs w:val="24"/>
              </w:rPr>
              <w:t>Responsabilidad Civil</w:t>
            </w:r>
          </w:p>
        </w:tc>
        <w:tc>
          <w:tcPr>
            <w:tcW w:w="2126" w:type="dxa"/>
          </w:tcPr>
          <w:p w:rsidR="00FE4026" w:rsidRPr="009F1D4F" w:rsidRDefault="00FE4026" w:rsidP="00165B24">
            <w:pPr>
              <w:ind w:left="426"/>
              <w:jc w:val="center"/>
              <w:rPr>
                <w:rFonts w:ascii="Calibri" w:hAnsi="Calibri" w:cs="Arial"/>
                <w:sz w:val="24"/>
                <w:szCs w:val="24"/>
              </w:rPr>
            </w:pPr>
            <w:r w:rsidRPr="009F1D4F">
              <w:rPr>
                <w:rFonts w:ascii="Calibri" w:hAnsi="Calibri" w:cs="Arial"/>
                <w:sz w:val="24"/>
                <w:szCs w:val="24"/>
              </w:rPr>
              <w:t>No aplica</w:t>
            </w:r>
          </w:p>
        </w:tc>
        <w:tc>
          <w:tcPr>
            <w:tcW w:w="3494" w:type="dxa"/>
          </w:tcPr>
          <w:p w:rsidR="00FE4026" w:rsidRPr="009F1D4F" w:rsidRDefault="00FE4026" w:rsidP="00165B24">
            <w:pPr>
              <w:ind w:left="426"/>
              <w:jc w:val="both"/>
              <w:rPr>
                <w:rFonts w:ascii="Calibri" w:hAnsi="Calibri" w:cs="Arial"/>
                <w:sz w:val="24"/>
                <w:szCs w:val="24"/>
              </w:rPr>
            </w:pPr>
            <w:r w:rsidRPr="009F1D4F">
              <w:rPr>
                <w:rFonts w:ascii="Calibri" w:hAnsi="Calibri" w:cs="Arial"/>
                <w:sz w:val="24"/>
                <w:szCs w:val="24"/>
              </w:rPr>
              <w:t>$500,000.00 M.N.</w:t>
            </w:r>
          </w:p>
        </w:tc>
      </w:tr>
      <w:tr w:rsidR="00FE4026" w:rsidRPr="009F1D4F" w:rsidTr="00165B24">
        <w:tblPrEx>
          <w:tblCellMar>
            <w:top w:w="0" w:type="dxa"/>
            <w:bottom w:w="0" w:type="dxa"/>
          </w:tblCellMar>
        </w:tblPrEx>
        <w:trPr>
          <w:trHeight w:val="278"/>
        </w:trPr>
        <w:tc>
          <w:tcPr>
            <w:tcW w:w="567"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2</w:t>
            </w:r>
          </w:p>
        </w:tc>
        <w:tc>
          <w:tcPr>
            <w:tcW w:w="3118"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Gastos Médicos para Ocupantes</w:t>
            </w:r>
          </w:p>
        </w:tc>
        <w:tc>
          <w:tcPr>
            <w:tcW w:w="2126" w:type="dxa"/>
          </w:tcPr>
          <w:p w:rsidR="00FE4026" w:rsidRPr="009F1D4F" w:rsidRDefault="00FE4026" w:rsidP="00165B24">
            <w:pPr>
              <w:ind w:left="426"/>
              <w:jc w:val="center"/>
              <w:rPr>
                <w:rFonts w:ascii="Calibri" w:hAnsi="Calibri" w:cs="Arial"/>
                <w:sz w:val="24"/>
                <w:szCs w:val="24"/>
              </w:rPr>
            </w:pPr>
            <w:r w:rsidRPr="009F1D4F">
              <w:rPr>
                <w:rFonts w:ascii="Calibri" w:hAnsi="Calibri" w:cs="Arial"/>
                <w:sz w:val="24"/>
                <w:szCs w:val="24"/>
              </w:rPr>
              <w:t>No aplica</w:t>
            </w:r>
          </w:p>
        </w:tc>
        <w:tc>
          <w:tcPr>
            <w:tcW w:w="3494"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$200,000.00 M.N. por evento</w:t>
            </w:r>
          </w:p>
        </w:tc>
      </w:tr>
      <w:tr w:rsidR="00FE4026" w:rsidRPr="009F1D4F" w:rsidTr="00165B24">
        <w:tblPrEx>
          <w:tblCellMar>
            <w:top w:w="0" w:type="dxa"/>
            <w:bottom w:w="0" w:type="dxa"/>
          </w:tblCellMar>
        </w:tblPrEx>
        <w:trPr>
          <w:trHeight w:val="278"/>
        </w:trPr>
        <w:tc>
          <w:tcPr>
            <w:tcW w:w="567"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3</w:t>
            </w:r>
          </w:p>
        </w:tc>
        <w:tc>
          <w:tcPr>
            <w:tcW w:w="3118"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Asistencia legal: Incluye Gastos de Abogado y Fianza</w:t>
            </w:r>
          </w:p>
        </w:tc>
        <w:tc>
          <w:tcPr>
            <w:tcW w:w="2126" w:type="dxa"/>
          </w:tcPr>
          <w:p w:rsidR="00FE4026" w:rsidRPr="009F1D4F" w:rsidRDefault="00FE4026" w:rsidP="00165B24">
            <w:pPr>
              <w:ind w:left="426"/>
              <w:jc w:val="center"/>
              <w:rPr>
                <w:rFonts w:ascii="Calibri" w:hAnsi="Calibri" w:cs="Arial"/>
                <w:sz w:val="24"/>
                <w:szCs w:val="24"/>
              </w:rPr>
            </w:pPr>
            <w:r w:rsidRPr="009F1D4F">
              <w:rPr>
                <w:rFonts w:ascii="Calibri" w:hAnsi="Calibri" w:cs="Arial"/>
                <w:sz w:val="24"/>
                <w:szCs w:val="24"/>
              </w:rPr>
              <w:t>No aplica</w:t>
            </w:r>
          </w:p>
        </w:tc>
        <w:tc>
          <w:tcPr>
            <w:tcW w:w="3494"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$500,000.00 M.N. por evento</w:t>
            </w:r>
          </w:p>
        </w:tc>
      </w:tr>
      <w:tr w:rsidR="00FE4026" w:rsidRPr="009F1D4F" w:rsidTr="00165B24">
        <w:tblPrEx>
          <w:tblCellMar>
            <w:top w:w="0" w:type="dxa"/>
            <w:bottom w:w="0" w:type="dxa"/>
          </w:tblCellMar>
        </w:tblPrEx>
        <w:trPr>
          <w:trHeight w:val="278"/>
        </w:trPr>
        <w:tc>
          <w:tcPr>
            <w:tcW w:w="567" w:type="dxa"/>
          </w:tcPr>
          <w:p w:rsidR="00FE4026" w:rsidRPr="009F1D4F" w:rsidRDefault="00FE4026" w:rsidP="00165B24">
            <w:pPr>
              <w:jc w:val="center"/>
              <w:rPr>
                <w:rFonts w:ascii="Calibri" w:hAnsi="Calibri" w:cs="Arial"/>
                <w:sz w:val="24"/>
                <w:szCs w:val="24"/>
              </w:rPr>
            </w:pPr>
            <w:r w:rsidRPr="009F1D4F">
              <w:rPr>
                <w:rFonts w:ascii="Calibri" w:hAnsi="Calibri" w:cs="Arial"/>
                <w:sz w:val="24"/>
                <w:szCs w:val="24"/>
              </w:rPr>
              <w:t>4</w:t>
            </w:r>
          </w:p>
        </w:tc>
        <w:tc>
          <w:tcPr>
            <w:tcW w:w="3118"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Asistencia vial</w:t>
            </w:r>
          </w:p>
        </w:tc>
        <w:tc>
          <w:tcPr>
            <w:tcW w:w="2126" w:type="dxa"/>
          </w:tcPr>
          <w:p w:rsidR="00FE4026" w:rsidRPr="009F1D4F" w:rsidRDefault="00FE4026" w:rsidP="00165B24">
            <w:pPr>
              <w:ind w:left="426"/>
              <w:jc w:val="center"/>
              <w:rPr>
                <w:rFonts w:ascii="Calibri" w:hAnsi="Calibri" w:cs="Arial"/>
                <w:sz w:val="24"/>
                <w:szCs w:val="24"/>
              </w:rPr>
            </w:pPr>
            <w:r w:rsidRPr="009F1D4F">
              <w:rPr>
                <w:rFonts w:ascii="Calibri" w:hAnsi="Calibri" w:cs="Arial"/>
                <w:sz w:val="24"/>
                <w:szCs w:val="24"/>
              </w:rPr>
              <w:t>No aplica</w:t>
            </w:r>
          </w:p>
        </w:tc>
        <w:tc>
          <w:tcPr>
            <w:tcW w:w="3494" w:type="dxa"/>
          </w:tcPr>
          <w:p w:rsidR="00FE4026" w:rsidRPr="009F1D4F" w:rsidRDefault="00FE4026" w:rsidP="00165B24">
            <w:pPr>
              <w:jc w:val="both"/>
              <w:rPr>
                <w:rFonts w:ascii="Calibri" w:hAnsi="Calibri" w:cs="Arial"/>
                <w:sz w:val="24"/>
                <w:szCs w:val="24"/>
              </w:rPr>
            </w:pPr>
            <w:r w:rsidRPr="009F1D4F">
              <w:rPr>
                <w:rFonts w:ascii="Calibri" w:hAnsi="Calibri" w:cs="Arial"/>
                <w:sz w:val="24"/>
                <w:szCs w:val="24"/>
              </w:rPr>
              <w:t>Costo de un mínimo de tres eventos por cada vehículo durante la vigencia de la póliza: grúa, combustible, refacciones y mano de obra, en carretera y zonas urbanas</w:t>
            </w:r>
          </w:p>
        </w:tc>
      </w:tr>
    </w:tbl>
    <w:p w:rsidR="00FE4026" w:rsidRPr="009F1D4F" w:rsidRDefault="00FE4026" w:rsidP="00FE4026">
      <w:pPr>
        <w:spacing w:line="26" w:lineRule="atLeast"/>
        <w:jc w:val="both"/>
        <w:rPr>
          <w:rFonts w:ascii="Calibri" w:hAnsi="Calibri" w:cs="Tahoma"/>
          <w:sz w:val="24"/>
          <w:szCs w:val="24"/>
        </w:rPr>
      </w:pPr>
    </w:p>
    <w:p w:rsidR="00FE4026" w:rsidRPr="009F1D4F" w:rsidRDefault="00FE4026" w:rsidP="00FE4026">
      <w:pPr>
        <w:spacing w:line="26" w:lineRule="atLeast"/>
        <w:jc w:val="both"/>
        <w:rPr>
          <w:rFonts w:ascii="Calibri" w:hAnsi="Calibri" w:cs="Tahoma"/>
          <w:sz w:val="24"/>
          <w:szCs w:val="24"/>
        </w:rPr>
      </w:pPr>
      <w:r w:rsidRPr="009F1D4F">
        <w:rPr>
          <w:rFonts w:ascii="Calibri" w:hAnsi="Calibri" w:cs="Tahoma"/>
          <w:sz w:val="24"/>
          <w:szCs w:val="24"/>
        </w:rPr>
        <w:t>En caso de Siniestro, cuyo responsable sea un tercero identificado, el deducible no tendrá costo para “EL ISEP”.</w:t>
      </w:r>
    </w:p>
    <w:p w:rsidR="00FE4026" w:rsidRPr="009F1D4F" w:rsidRDefault="00FE4026" w:rsidP="00FE4026">
      <w:pPr>
        <w:spacing w:line="26" w:lineRule="atLeast"/>
        <w:jc w:val="both"/>
        <w:rPr>
          <w:rFonts w:ascii="Calibri" w:hAnsi="Calibri" w:cs="Tahoma"/>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sz w:val="24"/>
          <w:szCs w:val="24"/>
        </w:rPr>
      </w:pPr>
      <w:r w:rsidRPr="009F1D4F">
        <w:rPr>
          <w:rFonts w:ascii="Calibri" w:hAnsi="Calibri" w:cs="Tahoma"/>
          <w:b/>
          <w:sz w:val="24"/>
          <w:szCs w:val="24"/>
        </w:rPr>
        <w:t>Siniestro sobre vehículo:</w:t>
      </w:r>
      <w:r w:rsidRPr="009F1D4F">
        <w:rPr>
          <w:rFonts w:ascii="Calibri" w:hAnsi="Calibri" w:cs="Tahoma"/>
          <w:sz w:val="24"/>
          <w:szCs w:val="24"/>
        </w:rPr>
        <w:t xml:space="preserve"> 5% deducible por evento en la Unidad Completa, “En caso de impactos de cualquier tipo,  se tomará el mismo 5% por evento”. (Nota: es un único deducible del 5% independientemente del tipo de evento producido) No se aceptará el cobro de más de un deducible. </w:t>
      </w:r>
      <w:bookmarkEnd w:id="0"/>
      <w:bookmarkEnd w:id="1"/>
    </w:p>
    <w:p w:rsidR="00FE4026" w:rsidRPr="009F1D4F" w:rsidRDefault="00FE4026" w:rsidP="00FE4026">
      <w:pPr>
        <w:pStyle w:val="Textoindependiente2"/>
        <w:rPr>
          <w:rFonts w:ascii="Calibri" w:hAnsi="Calibri" w:cs="Tahoma"/>
          <w:sz w:val="24"/>
          <w:szCs w:val="24"/>
        </w:rPr>
      </w:pPr>
    </w:p>
    <w:p w:rsidR="00FE4026" w:rsidRPr="009F1D4F" w:rsidRDefault="00FE4026" w:rsidP="00FE4026">
      <w:pPr>
        <w:shd w:val="clear" w:color="auto" w:fill="D9D9D9"/>
        <w:spacing w:line="26" w:lineRule="atLeast"/>
        <w:jc w:val="both"/>
        <w:rPr>
          <w:rFonts w:ascii="Calibri" w:hAnsi="Calibri" w:cs="Tahoma"/>
          <w:b/>
          <w:sz w:val="24"/>
          <w:szCs w:val="24"/>
        </w:rPr>
      </w:pPr>
      <w:r w:rsidRPr="009F1D4F">
        <w:rPr>
          <w:rFonts w:ascii="Calibri" w:hAnsi="Calibri" w:cs="Tahoma"/>
          <w:b/>
          <w:sz w:val="24"/>
          <w:szCs w:val="24"/>
        </w:rPr>
        <w:t>VALOR COMERCIAL</w:t>
      </w:r>
    </w:p>
    <w:p w:rsidR="00FE4026" w:rsidRPr="009F1D4F" w:rsidRDefault="00FE4026" w:rsidP="00FE4026">
      <w:pPr>
        <w:spacing w:line="26" w:lineRule="atLeast"/>
        <w:jc w:val="both"/>
        <w:rPr>
          <w:rFonts w:ascii="Calibri" w:hAnsi="Calibri" w:cs="Tahoma"/>
          <w:sz w:val="24"/>
          <w:szCs w:val="24"/>
        </w:rPr>
      </w:pPr>
      <w:r w:rsidRPr="009F1D4F">
        <w:rPr>
          <w:rFonts w:ascii="Calibri" w:hAnsi="Calibri" w:cs="Tahoma"/>
          <w:b/>
          <w:sz w:val="24"/>
          <w:szCs w:val="24"/>
        </w:rPr>
        <w:t>Vehículos nacionales:</w:t>
      </w:r>
      <w:r w:rsidRPr="009F1D4F">
        <w:rPr>
          <w:rFonts w:ascii="Calibri" w:hAnsi="Calibri" w:cs="Tahoma"/>
          <w:sz w:val="24"/>
          <w:szCs w:val="24"/>
        </w:rPr>
        <w:t xml:space="preserve"> GUIA EBC: Entiéndase por el valor de mercado que tienen los vehículos.</w:t>
      </w:r>
    </w:p>
    <w:p w:rsidR="00FE4026" w:rsidRPr="009F1D4F" w:rsidRDefault="00FE4026" w:rsidP="00FE4026">
      <w:pPr>
        <w:spacing w:line="26" w:lineRule="atLeast"/>
        <w:jc w:val="both"/>
        <w:rPr>
          <w:rFonts w:ascii="Calibri" w:hAnsi="Calibri" w:cs="Tahoma"/>
          <w:i/>
          <w:sz w:val="24"/>
          <w:szCs w:val="24"/>
        </w:rPr>
      </w:pPr>
      <w:r w:rsidRPr="009F1D4F">
        <w:rPr>
          <w:rFonts w:ascii="Calibri" w:hAnsi="Calibri" w:cs="Tahoma"/>
          <w:b/>
          <w:sz w:val="24"/>
          <w:szCs w:val="24"/>
        </w:rPr>
        <w:t>Vehículos importados</w:t>
      </w:r>
      <w:r w:rsidRPr="009F1D4F">
        <w:rPr>
          <w:rFonts w:ascii="Calibri" w:hAnsi="Calibri" w:cs="Tahoma"/>
          <w:sz w:val="24"/>
          <w:szCs w:val="24"/>
        </w:rPr>
        <w:t xml:space="preserve">: BLUE BOOK: Entiéndase por el valor de mercado que tienen los vehículos. </w:t>
      </w:r>
      <w:r w:rsidRPr="009F1D4F">
        <w:rPr>
          <w:rFonts w:ascii="Calibri" w:hAnsi="Calibri" w:cs="Tahoma"/>
          <w:i/>
          <w:sz w:val="24"/>
          <w:szCs w:val="24"/>
        </w:rPr>
        <w:t>(En ambos casos tomar el valor alto).</w:t>
      </w:r>
    </w:p>
    <w:p w:rsidR="00FE4026" w:rsidRPr="009F1D4F" w:rsidRDefault="00FE4026" w:rsidP="00FE4026">
      <w:pPr>
        <w:spacing w:line="26" w:lineRule="atLeast"/>
        <w:jc w:val="both"/>
        <w:rPr>
          <w:rFonts w:ascii="Calibri" w:hAnsi="Calibri" w:cs="Tahoma"/>
          <w:i/>
          <w:sz w:val="24"/>
          <w:szCs w:val="24"/>
        </w:rPr>
      </w:pPr>
    </w:p>
    <w:p w:rsidR="00FE4026" w:rsidRPr="009F1D4F" w:rsidRDefault="00FE4026" w:rsidP="00FE4026">
      <w:pPr>
        <w:shd w:val="clear" w:color="auto" w:fill="D9D9D9"/>
        <w:spacing w:line="26" w:lineRule="atLeast"/>
        <w:jc w:val="both"/>
        <w:rPr>
          <w:rFonts w:ascii="Calibri" w:hAnsi="Calibri" w:cs="Tahoma"/>
          <w:b/>
          <w:bCs/>
          <w:sz w:val="24"/>
          <w:szCs w:val="24"/>
        </w:rPr>
      </w:pPr>
      <w:r w:rsidRPr="009F1D4F">
        <w:rPr>
          <w:rFonts w:ascii="Calibri" w:hAnsi="Calibri" w:cs="Tahoma"/>
          <w:b/>
          <w:bCs/>
          <w:sz w:val="24"/>
          <w:szCs w:val="24"/>
        </w:rPr>
        <w:t>COBERTURAS:</w:t>
      </w:r>
    </w:p>
    <w:p w:rsidR="00FE4026" w:rsidRPr="009F1D4F" w:rsidRDefault="00FE4026" w:rsidP="00FE4026">
      <w:pPr>
        <w:tabs>
          <w:tab w:val="num" w:pos="870"/>
        </w:tabs>
        <w:spacing w:line="26" w:lineRule="atLeast"/>
        <w:ind w:left="360" w:hanging="360"/>
        <w:jc w:val="both"/>
        <w:rPr>
          <w:rFonts w:ascii="Calibri" w:hAnsi="Calibri" w:cs="Tahoma"/>
          <w:b/>
          <w:sz w:val="24"/>
          <w:szCs w:val="24"/>
          <w:u w:val="single"/>
        </w:rPr>
      </w:pPr>
      <w:r w:rsidRPr="009F1D4F">
        <w:rPr>
          <w:rFonts w:ascii="Calibri" w:hAnsi="Calibri" w:cs="Tahoma"/>
          <w:b/>
          <w:sz w:val="24"/>
          <w:szCs w:val="24"/>
          <w:u w:val="single"/>
        </w:rPr>
        <w:t>A)  AMPLIA</w:t>
      </w:r>
    </w:p>
    <w:p w:rsidR="00FE4026" w:rsidRPr="009F1D4F" w:rsidRDefault="00FE4026" w:rsidP="00FE4026">
      <w:pPr>
        <w:numPr>
          <w:ilvl w:val="0"/>
          <w:numId w:val="1"/>
        </w:numPr>
        <w:tabs>
          <w:tab w:val="clear" w:pos="720"/>
        </w:tabs>
        <w:spacing w:line="26" w:lineRule="atLeast"/>
        <w:ind w:left="284" w:hanging="284"/>
        <w:jc w:val="both"/>
        <w:rPr>
          <w:rFonts w:ascii="Calibri" w:hAnsi="Calibri" w:cs="Tahoma"/>
          <w:b/>
          <w:sz w:val="24"/>
          <w:szCs w:val="24"/>
        </w:rPr>
      </w:pPr>
      <w:r w:rsidRPr="009F1D4F">
        <w:rPr>
          <w:rFonts w:ascii="Calibri" w:hAnsi="Calibri" w:cs="Tahoma"/>
          <w:b/>
          <w:sz w:val="24"/>
          <w:szCs w:val="24"/>
        </w:rPr>
        <w:t xml:space="preserve">Daños materiales </w:t>
      </w:r>
      <w:r w:rsidRPr="009F1D4F">
        <w:rPr>
          <w:rFonts w:ascii="Calibri" w:hAnsi="Calibri" w:cs="Tahoma"/>
          <w:sz w:val="24"/>
          <w:szCs w:val="24"/>
        </w:rPr>
        <w:t>(incluyendo aditamentos adicionales al vehículo).</w:t>
      </w:r>
    </w:p>
    <w:p w:rsidR="00FE4026" w:rsidRPr="009F1D4F" w:rsidRDefault="00FE4026" w:rsidP="00FE4026">
      <w:pPr>
        <w:numPr>
          <w:ilvl w:val="0"/>
          <w:numId w:val="1"/>
        </w:numPr>
        <w:tabs>
          <w:tab w:val="clear" w:pos="720"/>
        </w:tabs>
        <w:spacing w:line="26" w:lineRule="atLeast"/>
        <w:ind w:left="284" w:hanging="284"/>
        <w:jc w:val="both"/>
        <w:rPr>
          <w:rFonts w:ascii="Calibri" w:hAnsi="Calibri" w:cs="Tahoma"/>
          <w:b/>
          <w:sz w:val="24"/>
          <w:szCs w:val="24"/>
        </w:rPr>
      </w:pPr>
      <w:r w:rsidRPr="009F1D4F">
        <w:rPr>
          <w:rFonts w:ascii="Calibri" w:hAnsi="Calibri" w:cs="Tahoma"/>
          <w:b/>
          <w:sz w:val="24"/>
          <w:szCs w:val="24"/>
        </w:rPr>
        <w:t>Robo Total</w:t>
      </w:r>
    </w:p>
    <w:p w:rsidR="00FE4026" w:rsidRPr="009F1D4F" w:rsidRDefault="00FE4026" w:rsidP="00FE4026">
      <w:pPr>
        <w:numPr>
          <w:ilvl w:val="0"/>
          <w:numId w:val="1"/>
        </w:numPr>
        <w:tabs>
          <w:tab w:val="clear" w:pos="720"/>
        </w:tabs>
        <w:spacing w:line="26" w:lineRule="atLeast"/>
        <w:ind w:left="284" w:hanging="284"/>
        <w:jc w:val="both"/>
        <w:rPr>
          <w:rFonts w:ascii="Calibri" w:hAnsi="Calibri" w:cs="Tahoma"/>
          <w:sz w:val="24"/>
          <w:szCs w:val="24"/>
        </w:rPr>
      </w:pPr>
      <w:r w:rsidRPr="009F1D4F">
        <w:rPr>
          <w:rFonts w:ascii="Calibri" w:hAnsi="Calibri" w:cs="Tahoma"/>
          <w:b/>
          <w:sz w:val="24"/>
          <w:szCs w:val="24"/>
        </w:rPr>
        <w:t xml:space="preserve">Daños a terceros - </w:t>
      </w:r>
      <w:r w:rsidRPr="009F1D4F">
        <w:rPr>
          <w:rFonts w:ascii="Calibri" w:hAnsi="Calibri" w:cs="Tahoma"/>
          <w:sz w:val="24"/>
          <w:szCs w:val="24"/>
        </w:rPr>
        <w:t>Responsabilidad Civil $500,000.00 M.N, (bienes y personas)</w:t>
      </w:r>
    </w:p>
    <w:p w:rsidR="00FE4026" w:rsidRPr="009F1D4F" w:rsidRDefault="00FE4026" w:rsidP="00FE4026">
      <w:pPr>
        <w:numPr>
          <w:ilvl w:val="0"/>
          <w:numId w:val="1"/>
        </w:numPr>
        <w:tabs>
          <w:tab w:val="clear" w:pos="720"/>
        </w:tabs>
        <w:spacing w:line="26" w:lineRule="atLeast"/>
        <w:ind w:left="284" w:hanging="284"/>
        <w:jc w:val="both"/>
        <w:rPr>
          <w:rFonts w:ascii="Calibri" w:hAnsi="Calibri" w:cs="Tahoma"/>
          <w:sz w:val="24"/>
          <w:szCs w:val="24"/>
        </w:rPr>
      </w:pPr>
      <w:r w:rsidRPr="009F1D4F">
        <w:rPr>
          <w:rFonts w:ascii="Calibri" w:hAnsi="Calibri" w:cs="Tahoma"/>
          <w:b/>
          <w:sz w:val="24"/>
          <w:szCs w:val="24"/>
        </w:rPr>
        <w:t xml:space="preserve">Asesoría Legal </w:t>
      </w:r>
      <w:r w:rsidRPr="009F1D4F">
        <w:rPr>
          <w:rFonts w:ascii="Calibri" w:hAnsi="Calibri" w:cs="Tahoma"/>
          <w:sz w:val="24"/>
          <w:szCs w:val="24"/>
        </w:rPr>
        <w:t>$500,000.00 M.N</w:t>
      </w:r>
    </w:p>
    <w:p w:rsidR="00FE4026" w:rsidRPr="009F1D4F" w:rsidRDefault="00FE4026" w:rsidP="00FE4026">
      <w:pPr>
        <w:numPr>
          <w:ilvl w:val="0"/>
          <w:numId w:val="1"/>
        </w:numPr>
        <w:tabs>
          <w:tab w:val="clear" w:pos="720"/>
        </w:tabs>
        <w:spacing w:line="26" w:lineRule="atLeast"/>
        <w:ind w:left="284" w:hanging="284"/>
        <w:jc w:val="both"/>
        <w:rPr>
          <w:rFonts w:ascii="Calibri" w:hAnsi="Calibri" w:cs="Tahoma"/>
          <w:color w:val="000000"/>
          <w:sz w:val="24"/>
          <w:szCs w:val="24"/>
        </w:rPr>
      </w:pPr>
      <w:r w:rsidRPr="009F1D4F">
        <w:rPr>
          <w:rFonts w:ascii="Calibri" w:hAnsi="Calibri" w:cs="Tahoma"/>
          <w:b/>
          <w:color w:val="000000"/>
          <w:sz w:val="24"/>
          <w:szCs w:val="24"/>
        </w:rPr>
        <w:t>Asistencia vial:</w:t>
      </w:r>
      <w:r w:rsidRPr="009F1D4F">
        <w:rPr>
          <w:rFonts w:ascii="Calibri" w:hAnsi="Calibri" w:cs="Tahoma"/>
          <w:color w:val="000000"/>
          <w:sz w:val="24"/>
          <w:szCs w:val="24"/>
        </w:rPr>
        <w:t xml:space="preserve"> Cubrir todo lo de este rubro y en lo que respecta a Arrastre: Mínimo tres servicios de Grúa por año por unidad.</w:t>
      </w:r>
    </w:p>
    <w:p w:rsidR="00FE4026" w:rsidRPr="009F1D4F" w:rsidRDefault="00FE4026" w:rsidP="00FE4026">
      <w:pPr>
        <w:pStyle w:val="3"/>
        <w:numPr>
          <w:ilvl w:val="0"/>
          <w:numId w:val="1"/>
        </w:numPr>
        <w:tabs>
          <w:tab w:val="clear" w:pos="720"/>
          <w:tab w:val="num" w:pos="0"/>
          <w:tab w:val="num" w:pos="284"/>
        </w:tabs>
        <w:ind w:left="284" w:hanging="284"/>
        <w:rPr>
          <w:rFonts w:ascii="Calibri" w:hAnsi="Calibri" w:cs="Tahoma"/>
          <w:color w:val="000000"/>
          <w:sz w:val="24"/>
          <w:szCs w:val="24"/>
        </w:rPr>
      </w:pPr>
      <w:r w:rsidRPr="009F1D4F">
        <w:rPr>
          <w:rFonts w:ascii="Calibri" w:hAnsi="Calibri" w:cs="Tahoma"/>
          <w:b/>
          <w:color w:val="000000"/>
          <w:sz w:val="24"/>
          <w:szCs w:val="24"/>
        </w:rPr>
        <w:t xml:space="preserve">Gastos Médicos a Ocupantes de $40,000.00 M.N. por persona y por accidente hasta por el monto </w:t>
      </w:r>
      <w:r w:rsidRPr="009F1D4F">
        <w:rPr>
          <w:rFonts w:ascii="Calibri" w:hAnsi="Calibri" w:cs="Tahoma"/>
          <w:color w:val="000000"/>
          <w:sz w:val="24"/>
          <w:szCs w:val="24"/>
        </w:rPr>
        <w:t>total según corresponda el cupo de pasajeros definido para cada vehículo. (</w:t>
      </w:r>
      <w:proofErr w:type="spellStart"/>
      <w:r w:rsidRPr="009F1D4F">
        <w:rPr>
          <w:rFonts w:ascii="Calibri" w:hAnsi="Calibri" w:cs="Tahoma"/>
          <w:color w:val="000000"/>
          <w:sz w:val="24"/>
          <w:szCs w:val="24"/>
        </w:rPr>
        <w:t>Ejem</w:t>
      </w:r>
      <w:proofErr w:type="spellEnd"/>
      <w:r w:rsidRPr="009F1D4F">
        <w:rPr>
          <w:rFonts w:ascii="Calibri" w:hAnsi="Calibri" w:cs="Tahoma"/>
          <w:color w:val="000000"/>
          <w:sz w:val="24"/>
          <w:szCs w:val="24"/>
        </w:rPr>
        <w:t xml:space="preserve">. Vehículo de 5 pasajeros </w:t>
      </w:r>
      <w:r w:rsidRPr="009F1D4F">
        <w:rPr>
          <w:rFonts w:ascii="Calibri" w:hAnsi="Calibri" w:cs="Tahoma"/>
          <w:b/>
          <w:color w:val="000000"/>
          <w:sz w:val="24"/>
          <w:szCs w:val="24"/>
        </w:rPr>
        <w:t>$200,000.00 M.N)</w:t>
      </w:r>
    </w:p>
    <w:p w:rsidR="00FE4026" w:rsidRPr="009F1D4F" w:rsidRDefault="00FE4026" w:rsidP="00FE4026">
      <w:pPr>
        <w:pStyle w:val="3"/>
        <w:numPr>
          <w:ilvl w:val="0"/>
          <w:numId w:val="1"/>
        </w:numPr>
        <w:tabs>
          <w:tab w:val="clear" w:pos="720"/>
          <w:tab w:val="num" w:pos="0"/>
          <w:tab w:val="num" w:pos="284"/>
        </w:tabs>
        <w:ind w:left="284" w:hanging="284"/>
        <w:rPr>
          <w:rFonts w:ascii="Calibri" w:hAnsi="Calibri" w:cs="Tahoma"/>
          <w:color w:val="000000"/>
          <w:sz w:val="24"/>
          <w:szCs w:val="24"/>
        </w:rPr>
      </w:pPr>
      <w:r w:rsidRPr="009F1D4F">
        <w:rPr>
          <w:rFonts w:ascii="Calibri" w:hAnsi="Calibri" w:cs="Tahoma"/>
          <w:b/>
          <w:i/>
          <w:color w:val="000000"/>
          <w:sz w:val="24"/>
          <w:szCs w:val="24"/>
        </w:rPr>
        <w:t>EN EL CASO DE EXCEDER EL CUPO DEFINIDO SE REQUIERE EL DIVIDIR EL MONTO TOTAL SEGÚN LA CAPACIDAD DEL VEHICULO ENTRE LOS OCUPANTES AL MOMENTO DEL SINIESTRO.</w:t>
      </w:r>
      <w:r w:rsidRPr="009F1D4F">
        <w:rPr>
          <w:rFonts w:ascii="Calibri" w:hAnsi="Calibri" w:cs="Tahoma"/>
          <w:color w:val="000000"/>
          <w:sz w:val="24"/>
          <w:szCs w:val="24"/>
        </w:rPr>
        <w:t xml:space="preserve">  (</w:t>
      </w:r>
      <w:proofErr w:type="spellStart"/>
      <w:r w:rsidRPr="009F1D4F">
        <w:rPr>
          <w:rFonts w:ascii="Calibri" w:hAnsi="Calibri" w:cs="Tahoma"/>
          <w:color w:val="000000"/>
          <w:sz w:val="24"/>
          <w:szCs w:val="24"/>
        </w:rPr>
        <w:t>Ejem</w:t>
      </w:r>
      <w:proofErr w:type="spellEnd"/>
      <w:r w:rsidRPr="009F1D4F">
        <w:rPr>
          <w:rFonts w:ascii="Calibri" w:hAnsi="Calibri" w:cs="Tahoma"/>
          <w:color w:val="000000"/>
          <w:sz w:val="24"/>
          <w:szCs w:val="24"/>
        </w:rPr>
        <w:t xml:space="preserve">. </w:t>
      </w:r>
      <w:r w:rsidRPr="009F1D4F">
        <w:rPr>
          <w:rFonts w:ascii="Calibri" w:hAnsi="Calibri" w:cs="Tahoma"/>
          <w:color w:val="000000"/>
          <w:sz w:val="24"/>
          <w:szCs w:val="24"/>
        </w:rPr>
        <w:lastRenderedPageBreak/>
        <w:t>Vehículo con capacidad de 5 pasajeros con 6 pasajeros al momento del accidente se otorgará $200,000.00 M.N. entre 6 personas $33,333.33 M.N. c/u).</w:t>
      </w:r>
    </w:p>
    <w:p w:rsidR="00FE4026" w:rsidRPr="009F1D4F" w:rsidRDefault="00FE4026" w:rsidP="00FE4026">
      <w:pPr>
        <w:pStyle w:val="3"/>
        <w:tabs>
          <w:tab w:val="left" w:pos="993"/>
        </w:tabs>
        <w:ind w:left="284" w:firstLine="0"/>
        <w:rPr>
          <w:rFonts w:ascii="Calibri" w:hAnsi="Calibri" w:cs="Tahoma"/>
          <w:b/>
          <w:color w:val="000000"/>
          <w:sz w:val="24"/>
          <w:szCs w:val="24"/>
        </w:rPr>
      </w:pPr>
    </w:p>
    <w:p w:rsidR="00FE4026" w:rsidRPr="009F1D4F" w:rsidRDefault="00FE4026" w:rsidP="00FE4026">
      <w:pPr>
        <w:tabs>
          <w:tab w:val="num" w:pos="870"/>
        </w:tabs>
        <w:spacing w:line="26" w:lineRule="atLeast"/>
        <w:jc w:val="both"/>
        <w:rPr>
          <w:rFonts w:ascii="Calibri" w:hAnsi="Calibri" w:cs="Tahoma"/>
          <w:b/>
          <w:sz w:val="24"/>
          <w:szCs w:val="24"/>
          <w:u w:val="single"/>
        </w:rPr>
      </w:pPr>
      <w:r w:rsidRPr="009F1D4F">
        <w:rPr>
          <w:rFonts w:ascii="Calibri" w:hAnsi="Calibri" w:cs="Tahoma"/>
          <w:b/>
          <w:sz w:val="24"/>
          <w:szCs w:val="24"/>
          <w:u w:val="single"/>
        </w:rPr>
        <w:t>B) RESPONSABILIDAD CIVIL</w:t>
      </w:r>
    </w:p>
    <w:p w:rsidR="00FE4026" w:rsidRPr="009F1D4F" w:rsidRDefault="00FE4026" w:rsidP="00FE4026">
      <w:pPr>
        <w:numPr>
          <w:ilvl w:val="0"/>
          <w:numId w:val="2"/>
        </w:numPr>
        <w:tabs>
          <w:tab w:val="clear" w:pos="720"/>
          <w:tab w:val="num" w:pos="360"/>
        </w:tabs>
        <w:spacing w:line="26" w:lineRule="atLeast"/>
        <w:ind w:left="360"/>
        <w:jc w:val="both"/>
        <w:rPr>
          <w:rFonts w:ascii="Calibri" w:hAnsi="Calibri" w:cs="Tahoma"/>
          <w:sz w:val="24"/>
          <w:szCs w:val="24"/>
        </w:rPr>
      </w:pPr>
      <w:r w:rsidRPr="009F1D4F">
        <w:rPr>
          <w:rFonts w:ascii="Calibri" w:hAnsi="Calibri" w:cs="Tahoma"/>
          <w:b/>
          <w:sz w:val="24"/>
          <w:szCs w:val="24"/>
        </w:rPr>
        <w:t xml:space="preserve">Daños a terceros - </w:t>
      </w:r>
      <w:r w:rsidRPr="009F1D4F">
        <w:rPr>
          <w:rFonts w:ascii="Calibri" w:hAnsi="Calibri" w:cs="Tahoma"/>
          <w:sz w:val="24"/>
          <w:szCs w:val="24"/>
        </w:rPr>
        <w:t>Responsabilidad Civil $500,000.00 M.N (bienes y personas)</w:t>
      </w:r>
    </w:p>
    <w:p w:rsidR="00FE4026" w:rsidRPr="009F1D4F" w:rsidRDefault="00FE4026" w:rsidP="00FE4026">
      <w:pPr>
        <w:numPr>
          <w:ilvl w:val="0"/>
          <w:numId w:val="2"/>
        </w:numPr>
        <w:tabs>
          <w:tab w:val="clear" w:pos="720"/>
          <w:tab w:val="num" w:pos="360"/>
        </w:tabs>
        <w:spacing w:line="26" w:lineRule="atLeast"/>
        <w:ind w:left="360"/>
        <w:jc w:val="both"/>
        <w:rPr>
          <w:rFonts w:ascii="Calibri" w:hAnsi="Calibri" w:cs="Tahoma"/>
          <w:sz w:val="24"/>
          <w:szCs w:val="24"/>
        </w:rPr>
      </w:pPr>
      <w:r w:rsidRPr="009F1D4F">
        <w:rPr>
          <w:rFonts w:ascii="Calibri" w:hAnsi="Calibri" w:cs="Tahoma"/>
          <w:b/>
          <w:sz w:val="24"/>
          <w:szCs w:val="24"/>
        </w:rPr>
        <w:t xml:space="preserve">Asesoría Legal: </w:t>
      </w:r>
      <w:r w:rsidRPr="009F1D4F">
        <w:rPr>
          <w:rFonts w:ascii="Calibri" w:hAnsi="Calibri" w:cs="Tahoma"/>
          <w:sz w:val="24"/>
          <w:szCs w:val="24"/>
        </w:rPr>
        <w:t>$ 500,000.00 M.N</w:t>
      </w:r>
    </w:p>
    <w:p w:rsidR="00FE4026" w:rsidRPr="009F1D4F" w:rsidRDefault="00FE4026" w:rsidP="00FE4026">
      <w:pPr>
        <w:numPr>
          <w:ilvl w:val="0"/>
          <w:numId w:val="2"/>
        </w:numPr>
        <w:tabs>
          <w:tab w:val="clear" w:pos="720"/>
          <w:tab w:val="num" w:pos="360"/>
        </w:tabs>
        <w:spacing w:line="26" w:lineRule="atLeast"/>
        <w:ind w:left="360"/>
        <w:jc w:val="both"/>
        <w:rPr>
          <w:rFonts w:ascii="Calibri" w:hAnsi="Calibri" w:cs="Tahoma"/>
          <w:color w:val="000000"/>
          <w:sz w:val="24"/>
          <w:szCs w:val="24"/>
        </w:rPr>
      </w:pPr>
      <w:r w:rsidRPr="009F1D4F">
        <w:rPr>
          <w:rFonts w:ascii="Calibri" w:hAnsi="Calibri" w:cs="Tahoma"/>
          <w:b/>
          <w:color w:val="000000"/>
          <w:sz w:val="24"/>
          <w:szCs w:val="24"/>
        </w:rPr>
        <w:t>Asistencia vial:</w:t>
      </w:r>
      <w:r w:rsidRPr="009F1D4F">
        <w:rPr>
          <w:rFonts w:ascii="Calibri" w:hAnsi="Calibri" w:cs="Tahoma"/>
          <w:color w:val="000000"/>
          <w:sz w:val="24"/>
          <w:szCs w:val="24"/>
        </w:rPr>
        <w:t xml:space="preserve"> Cubrir todo lo de este rubro y en lo que respecta a Arrastre: Mínimo tres servicios de Grúa por año por unidad.</w:t>
      </w:r>
    </w:p>
    <w:p w:rsidR="00FE4026" w:rsidRPr="009F1D4F" w:rsidRDefault="00FE4026" w:rsidP="00FE4026">
      <w:pPr>
        <w:pStyle w:val="3"/>
        <w:numPr>
          <w:ilvl w:val="0"/>
          <w:numId w:val="2"/>
        </w:numPr>
        <w:tabs>
          <w:tab w:val="clear" w:pos="720"/>
          <w:tab w:val="num" w:pos="284"/>
        </w:tabs>
        <w:ind w:left="284" w:hanging="437"/>
        <w:rPr>
          <w:rFonts w:ascii="Calibri" w:hAnsi="Calibri" w:cs="Tahoma"/>
          <w:color w:val="000000"/>
          <w:sz w:val="24"/>
          <w:szCs w:val="24"/>
        </w:rPr>
      </w:pPr>
      <w:r w:rsidRPr="009F1D4F">
        <w:rPr>
          <w:rFonts w:ascii="Calibri" w:hAnsi="Calibri" w:cs="Tahoma"/>
          <w:b/>
          <w:color w:val="000000"/>
          <w:sz w:val="24"/>
          <w:szCs w:val="24"/>
        </w:rPr>
        <w:t xml:space="preserve">Gastos Médicos a Ocupantes de $40,000.00 M.N. por persona y por accidente hasta por el monto </w:t>
      </w:r>
      <w:r w:rsidRPr="009F1D4F">
        <w:rPr>
          <w:rFonts w:ascii="Calibri" w:hAnsi="Calibri" w:cs="Tahoma"/>
          <w:color w:val="000000"/>
          <w:sz w:val="24"/>
          <w:szCs w:val="24"/>
        </w:rPr>
        <w:t>total según corresponda el cupo de pasajeros definido para cada vehículo. (</w:t>
      </w:r>
      <w:proofErr w:type="spellStart"/>
      <w:r w:rsidRPr="009F1D4F">
        <w:rPr>
          <w:rFonts w:ascii="Calibri" w:hAnsi="Calibri" w:cs="Tahoma"/>
          <w:color w:val="000000"/>
          <w:sz w:val="24"/>
          <w:szCs w:val="24"/>
        </w:rPr>
        <w:t>Ejem</w:t>
      </w:r>
      <w:proofErr w:type="spellEnd"/>
      <w:r w:rsidRPr="009F1D4F">
        <w:rPr>
          <w:rFonts w:ascii="Calibri" w:hAnsi="Calibri" w:cs="Tahoma"/>
          <w:color w:val="000000"/>
          <w:sz w:val="24"/>
          <w:szCs w:val="24"/>
        </w:rPr>
        <w:t xml:space="preserve">. Vehículo de 5 pasajeros </w:t>
      </w:r>
      <w:r w:rsidRPr="009F1D4F">
        <w:rPr>
          <w:rFonts w:ascii="Calibri" w:hAnsi="Calibri" w:cs="Tahoma"/>
          <w:b/>
          <w:color w:val="000000"/>
          <w:sz w:val="24"/>
          <w:szCs w:val="24"/>
        </w:rPr>
        <w:t>$200,000.00 M.N)</w:t>
      </w:r>
    </w:p>
    <w:p w:rsidR="00FE4026" w:rsidRPr="009F1D4F" w:rsidRDefault="00FE4026" w:rsidP="00FE4026">
      <w:pPr>
        <w:pStyle w:val="3"/>
        <w:numPr>
          <w:ilvl w:val="0"/>
          <w:numId w:val="2"/>
        </w:numPr>
        <w:tabs>
          <w:tab w:val="clear" w:pos="720"/>
          <w:tab w:val="num" w:pos="284"/>
        </w:tabs>
        <w:ind w:left="284" w:hanging="284"/>
        <w:rPr>
          <w:rFonts w:ascii="Calibri" w:hAnsi="Calibri" w:cs="Tahoma"/>
          <w:color w:val="000000"/>
          <w:sz w:val="24"/>
          <w:szCs w:val="24"/>
        </w:rPr>
      </w:pPr>
      <w:r w:rsidRPr="009F1D4F">
        <w:rPr>
          <w:rFonts w:ascii="Calibri" w:hAnsi="Calibri" w:cs="Tahoma"/>
          <w:b/>
          <w:i/>
          <w:color w:val="000000"/>
          <w:sz w:val="24"/>
          <w:szCs w:val="24"/>
        </w:rPr>
        <w:t>EN EL CASO DE EXCEDER EL CUPO DEFINIDO SE REQUIERE EL DIVIDIR EL MONTO TOTAL SEGÚN LA CAPACIDAD DEL VEHICULO ENTRE LOS OCUPANTES AL MOMENTO DEL SINIESTRO.</w:t>
      </w:r>
      <w:r w:rsidRPr="009F1D4F">
        <w:rPr>
          <w:rFonts w:ascii="Calibri" w:hAnsi="Calibri" w:cs="Tahoma"/>
          <w:color w:val="000000"/>
          <w:sz w:val="24"/>
          <w:szCs w:val="24"/>
        </w:rPr>
        <w:t xml:space="preserve">  (</w:t>
      </w:r>
      <w:proofErr w:type="spellStart"/>
      <w:r w:rsidRPr="009F1D4F">
        <w:rPr>
          <w:rFonts w:ascii="Calibri" w:hAnsi="Calibri" w:cs="Tahoma"/>
          <w:color w:val="000000"/>
          <w:sz w:val="24"/>
          <w:szCs w:val="24"/>
        </w:rPr>
        <w:t>Ejem</w:t>
      </w:r>
      <w:proofErr w:type="spellEnd"/>
      <w:r w:rsidRPr="009F1D4F">
        <w:rPr>
          <w:rFonts w:ascii="Calibri" w:hAnsi="Calibri" w:cs="Tahoma"/>
          <w:color w:val="000000"/>
          <w:sz w:val="24"/>
          <w:szCs w:val="24"/>
        </w:rPr>
        <w:t>. Vehículo con capacidad de 5 pasajeros con 6 pasajeros al momento del accidente se otorgará $200,000.00 M.N. entre 6 personas $33,333.33 M.N. c/u).</w:t>
      </w:r>
    </w:p>
    <w:p w:rsidR="00FE4026" w:rsidRPr="009F1D4F" w:rsidRDefault="00FE4026" w:rsidP="00FE4026">
      <w:pPr>
        <w:pStyle w:val="Textoindependiente2"/>
        <w:tabs>
          <w:tab w:val="num" w:pos="284"/>
        </w:tabs>
        <w:ind w:left="426" w:hanging="426"/>
        <w:rPr>
          <w:rFonts w:ascii="Calibri" w:hAnsi="Calibri" w:cs="Tahoma"/>
          <w:b/>
          <w:sz w:val="24"/>
          <w:szCs w:val="24"/>
        </w:rPr>
      </w:pPr>
    </w:p>
    <w:p w:rsidR="00FE4026" w:rsidRPr="009F1D4F" w:rsidRDefault="00FE4026" w:rsidP="00FE4026">
      <w:pPr>
        <w:shd w:val="clear" w:color="auto" w:fill="D9D9D9"/>
        <w:spacing w:line="26" w:lineRule="atLeast"/>
        <w:jc w:val="both"/>
        <w:rPr>
          <w:rFonts w:ascii="Calibri" w:hAnsi="Calibri" w:cs="Tahoma"/>
          <w:sz w:val="24"/>
          <w:szCs w:val="24"/>
        </w:rPr>
      </w:pPr>
      <w:r w:rsidRPr="009F1D4F">
        <w:rPr>
          <w:rFonts w:ascii="Calibri" w:hAnsi="Calibri" w:cs="Tahoma"/>
          <w:b/>
          <w:bCs/>
          <w:sz w:val="24"/>
          <w:szCs w:val="24"/>
        </w:rPr>
        <w:t xml:space="preserve">INFORMACION ADICIONAL A CONSIDERARSE </w:t>
      </w:r>
      <w:r w:rsidRPr="009F1D4F">
        <w:rPr>
          <w:rFonts w:ascii="Calibri" w:hAnsi="Calibri" w:cs="Tahoma"/>
          <w:b/>
          <w:sz w:val="24"/>
          <w:szCs w:val="24"/>
        </w:rPr>
        <w:t>EN TODOS LOS TIPOS DE COBERTURAS</w:t>
      </w:r>
    </w:p>
    <w:p w:rsidR="00FE4026" w:rsidRPr="009F1D4F" w:rsidRDefault="00FE4026" w:rsidP="00FE4026">
      <w:pPr>
        <w:pStyle w:val="3"/>
        <w:numPr>
          <w:ilvl w:val="0"/>
          <w:numId w:val="3"/>
        </w:numPr>
        <w:tabs>
          <w:tab w:val="clear" w:pos="360"/>
          <w:tab w:val="num" w:pos="426"/>
        </w:tabs>
        <w:ind w:left="426" w:hanging="426"/>
        <w:rPr>
          <w:rFonts w:ascii="Calibri" w:hAnsi="Calibri" w:cs="Tahoma"/>
          <w:sz w:val="24"/>
          <w:szCs w:val="24"/>
        </w:rPr>
      </w:pPr>
      <w:r w:rsidRPr="009F1D4F">
        <w:rPr>
          <w:rFonts w:ascii="Calibri" w:hAnsi="Calibri" w:cs="Tahoma"/>
          <w:sz w:val="24"/>
          <w:szCs w:val="24"/>
        </w:rPr>
        <w:t>Las compañías de seguros deben de incluir dentro de las coberturas de las pólizas de seguro que los servidores públicos podrán conducir vehículos tipo Pick-Up y Paneles cerradas hasta de 3.5 toneladas, mediante la utilización de la licencia de conducir tipo “Automovilista”.</w:t>
      </w:r>
    </w:p>
    <w:p w:rsidR="00FE4026" w:rsidRPr="009F1D4F" w:rsidRDefault="00FE4026" w:rsidP="00FE4026">
      <w:pPr>
        <w:pStyle w:val="Textoindependiente2"/>
        <w:tabs>
          <w:tab w:val="num" w:pos="426"/>
          <w:tab w:val="left" w:pos="3048"/>
        </w:tabs>
        <w:ind w:left="426" w:hanging="426"/>
        <w:rPr>
          <w:rFonts w:ascii="Calibri" w:hAnsi="Calibri" w:cs="Tahoma"/>
          <w:color w:val="000000"/>
          <w:sz w:val="24"/>
          <w:szCs w:val="24"/>
        </w:rPr>
      </w:pPr>
      <w:r w:rsidRPr="009F1D4F">
        <w:rPr>
          <w:rFonts w:ascii="Calibri" w:hAnsi="Calibri" w:cs="Tahoma"/>
          <w:color w:val="000000"/>
          <w:sz w:val="24"/>
          <w:szCs w:val="24"/>
        </w:rPr>
        <w:tab/>
      </w:r>
      <w:r w:rsidRPr="009F1D4F">
        <w:rPr>
          <w:rFonts w:ascii="Calibri" w:hAnsi="Calibri" w:cs="Tahoma"/>
          <w:color w:val="000000"/>
          <w:sz w:val="24"/>
          <w:szCs w:val="24"/>
        </w:rPr>
        <w:tab/>
      </w:r>
    </w:p>
    <w:p w:rsidR="00FE4026" w:rsidRPr="009F1D4F" w:rsidRDefault="00FE4026" w:rsidP="00FE4026">
      <w:pPr>
        <w:numPr>
          <w:ilvl w:val="0"/>
          <w:numId w:val="2"/>
        </w:numPr>
        <w:tabs>
          <w:tab w:val="clear" w:pos="720"/>
          <w:tab w:val="num" w:pos="360"/>
        </w:tabs>
        <w:spacing w:line="26" w:lineRule="atLeast"/>
        <w:ind w:left="360"/>
        <w:jc w:val="both"/>
        <w:rPr>
          <w:rFonts w:ascii="Calibri" w:hAnsi="Calibri" w:cs="Tahoma"/>
          <w:sz w:val="24"/>
          <w:szCs w:val="24"/>
        </w:rPr>
      </w:pPr>
      <w:r w:rsidRPr="009F1D4F">
        <w:rPr>
          <w:rFonts w:ascii="Calibri" w:hAnsi="Calibri" w:cs="Tahoma"/>
          <w:sz w:val="24"/>
          <w:szCs w:val="24"/>
        </w:rPr>
        <w:t xml:space="preserve">En caso de Pérdida Total por accidente y Robo Total del vehículo para tramitar la indemnización en el caso de no contar con factura original, se podrá entregar y tomar como válida </w:t>
      </w:r>
      <w:r w:rsidRPr="009F1D4F">
        <w:rPr>
          <w:rFonts w:ascii="Calibri" w:hAnsi="Calibri" w:cs="Tahoma"/>
          <w:b/>
          <w:bCs/>
          <w:sz w:val="24"/>
          <w:szCs w:val="24"/>
          <w:u w:val="single"/>
        </w:rPr>
        <w:t>copia certificada de la factura del vehículo</w:t>
      </w:r>
      <w:r w:rsidRPr="009F1D4F">
        <w:rPr>
          <w:rFonts w:ascii="Calibri" w:hAnsi="Calibri" w:cs="Tahoma"/>
          <w:sz w:val="24"/>
          <w:szCs w:val="24"/>
        </w:rPr>
        <w:t xml:space="preserve">  y recibir el pago del siniestro por parte de la Compañía Aseguradora.</w:t>
      </w:r>
    </w:p>
    <w:p w:rsidR="00FE4026" w:rsidRPr="009F1D4F" w:rsidRDefault="00FE4026" w:rsidP="00FE4026">
      <w:pPr>
        <w:pStyle w:val="Prrafodelista"/>
        <w:rPr>
          <w:rFonts w:ascii="Calibri" w:hAnsi="Calibri" w:cs="Tahoma"/>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sz w:val="24"/>
          <w:szCs w:val="24"/>
        </w:rPr>
      </w:pPr>
      <w:r w:rsidRPr="009F1D4F">
        <w:rPr>
          <w:rFonts w:ascii="Calibri" w:hAnsi="Calibri" w:cs="Tahoma"/>
          <w:sz w:val="24"/>
          <w:szCs w:val="24"/>
        </w:rPr>
        <w:t xml:space="preserve">El pago de siniestros tanto por pérdida parcial, pérdida total y robo será máximo </w:t>
      </w:r>
      <w:r w:rsidRPr="009F1D4F">
        <w:rPr>
          <w:rFonts w:ascii="Calibri" w:hAnsi="Calibri" w:cs="Tahoma"/>
          <w:color w:val="000000"/>
          <w:sz w:val="24"/>
          <w:szCs w:val="24"/>
        </w:rPr>
        <w:t>de 30 (treinta) d</w:t>
      </w:r>
      <w:r w:rsidRPr="009F1D4F">
        <w:rPr>
          <w:rFonts w:ascii="Calibri" w:hAnsi="Calibri" w:cs="Tahoma"/>
          <w:sz w:val="24"/>
          <w:szCs w:val="24"/>
        </w:rPr>
        <w:t>ías naturales, posteriores a la presentación de la documentación correspondiente.</w:t>
      </w:r>
    </w:p>
    <w:p w:rsidR="00FE4026" w:rsidRPr="009F1D4F" w:rsidRDefault="00FE4026" w:rsidP="00FE4026">
      <w:pPr>
        <w:pStyle w:val="Textoindependiente2"/>
        <w:rPr>
          <w:rFonts w:ascii="Calibri" w:hAnsi="Calibri" w:cs="Tahoma"/>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sz w:val="24"/>
          <w:szCs w:val="24"/>
        </w:rPr>
      </w:pPr>
      <w:r w:rsidRPr="009F1D4F">
        <w:rPr>
          <w:rFonts w:ascii="Calibri" w:hAnsi="Calibri" w:cs="Tahoma"/>
          <w:sz w:val="24"/>
          <w:szCs w:val="24"/>
        </w:rPr>
        <w:t>En vehículos importados, la Compañía de Seguros sin excepción aceptará para su pago en caso de pérdida total o robo total el pedimento de importación o factura a nombre de “EL ISEP”.</w:t>
      </w:r>
    </w:p>
    <w:p w:rsidR="00FE4026" w:rsidRPr="009F1D4F" w:rsidRDefault="00FE4026" w:rsidP="00FE4026">
      <w:pPr>
        <w:pStyle w:val="Textoindependiente2"/>
        <w:rPr>
          <w:rFonts w:ascii="Calibri" w:hAnsi="Calibri" w:cs="Tahoma"/>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b/>
          <w:color w:val="000000"/>
          <w:sz w:val="24"/>
          <w:szCs w:val="24"/>
        </w:rPr>
      </w:pPr>
      <w:r w:rsidRPr="009F1D4F">
        <w:rPr>
          <w:rFonts w:ascii="Calibri" w:hAnsi="Calibri" w:cs="Tahoma"/>
          <w:color w:val="000000"/>
          <w:sz w:val="24"/>
          <w:szCs w:val="24"/>
        </w:rPr>
        <w:t>En siniestros se debe de cubrir todo tipo de daño generado directa o indirectamente por cualquier tipo de evento.</w:t>
      </w:r>
    </w:p>
    <w:p w:rsidR="00FE4026" w:rsidRPr="009F1D4F" w:rsidRDefault="00FE4026" w:rsidP="00FE4026">
      <w:pPr>
        <w:pStyle w:val="Textoindependiente2"/>
        <w:rPr>
          <w:rFonts w:ascii="Calibri" w:hAnsi="Calibri" w:cs="Tahoma"/>
          <w:b/>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Los pagos por indemnizaciones de unidades siniestradas la Cía. de Seguros los deberá entregar en el Departamento de Ingresos de la Dirección de Recursos Financieros de “EL ISEP”, previo aviso por escrito a la Subdirección de Servicios Generales de “EL ISEP”.</w:t>
      </w:r>
    </w:p>
    <w:p w:rsidR="00FE4026" w:rsidRPr="009F1D4F" w:rsidRDefault="00FE4026" w:rsidP="00FE4026">
      <w:pPr>
        <w:pStyle w:val="Textoindependiente2"/>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En el caso de presentarse algún error en algún dato en unidades aseguradas, la Cía. de Seguros deberá atender y cubrir el siniestro, al catalogarse como al no existir dolo ni mala intención “ERRORES Y OMISIONES”.</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lastRenderedPageBreak/>
        <w:t>Los daños o reparaciones a vehículos oficiales modelos</w:t>
      </w:r>
      <w:r>
        <w:rPr>
          <w:rFonts w:ascii="Calibri" w:hAnsi="Calibri" w:cs="Tahoma"/>
          <w:color w:val="000000"/>
          <w:sz w:val="24"/>
          <w:szCs w:val="24"/>
        </w:rPr>
        <w:t xml:space="preserve"> 2015</w:t>
      </w:r>
      <w:r>
        <w:rPr>
          <w:rFonts w:ascii="Calibri" w:hAnsi="Calibri" w:cs="Tahoma"/>
          <w:color w:val="000000"/>
          <w:sz w:val="24"/>
          <w:szCs w:val="24"/>
        </w:rPr>
        <w:t>, 2016 y 2017</w:t>
      </w:r>
      <w:bookmarkStart w:id="2" w:name="_GoBack"/>
      <w:bookmarkEnd w:id="2"/>
      <w:r w:rsidRPr="009F1D4F">
        <w:rPr>
          <w:rFonts w:ascii="Calibri" w:hAnsi="Calibri" w:cs="Tahoma"/>
          <w:color w:val="000000"/>
          <w:sz w:val="24"/>
          <w:szCs w:val="24"/>
        </w:rPr>
        <w:t xml:space="preserve"> deberán ser atendidos en las agencias de la marca del vehículo correspondiente.</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No será requisito para el aseguramiento de las unidades, la imposición  de cualquier dispositivo de seguridad, como es gravado de serie, alarmas o inmovilizadores.</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La aseguradora otorgara sus servicios los 365 días del año, las 24 horas del día.</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 xml:space="preserve">Se deberán considerar cubiertos los daños a las unidades por motivo de vandalismo, incluyendo los daños provocados a las unidades por armas de fuego. </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Se cubrirán los daños ocasionados por la carga, de los vehículos asegurados.</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 xml:space="preserve">Se cubrirán los daños a terceros tanto en sus bienes como en su persona, que sean ocasionados con las adaptaciones que excedan las dimensiones normales de una unidad similar.  </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Con el presente seguro deberán quedar cubiertos los daños a las partes bajas de las unidades cuando transiten en caminos de terracería.</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El presente seguro deberá amparar la cobertura de responsabilidad civil cruzada, en todo el parque vehicular.</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 xml:space="preserve"> El tiempo de llegada del ajustador deberá ser de 15 a 45 minutos como máximo.</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pStyle w:val="Textoindependiente2"/>
        <w:numPr>
          <w:ilvl w:val="0"/>
          <w:numId w:val="2"/>
        </w:numPr>
        <w:tabs>
          <w:tab w:val="clear" w:pos="720"/>
          <w:tab w:val="num" w:pos="360"/>
        </w:tabs>
        <w:ind w:left="360"/>
        <w:rPr>
          <w:rFonts w:ascii="Calibri" w:hAnsi="Calibri" w:cs="Tahoma"/>
          <w:color w:val="000000"/>
          <w:sz w:val="24"/>
          <w:szCs w:val="24"/>
        </w:rPr>
      </w:pPr>
      <w:r w:rsidRPr="009F1D4F">
        <w:rPr>
          <w:rFonts w:ascii="Calibri" w:hAnsi="Calibri" w:cs="Tahoma"/>
          <w:color w:val="000000"/>
          <w:sz w:val="24"/>
          <w:szCs w:val="24"/>
        </w:rPr>
        <w:t>Se cubrirá el robo parcial en las unidades con cobertura amplia.</w:t>
      </w:r>
    </w:p>
    <w:p w:rsidR="00FE4026" w:rsidRPr="009F1D4F" w:rsidRDefault="00FE4026" w:rsidP="00FE4026">
      <w:pPr>
        <w:pStyle w:val="Prrafodelista"/>
        <w:rPr>
          <w:rFonts w:ascii="Calibri" w:hAnsi="Calibri" w:cs="Tahoma"/>
          <w:color w:val="000000"/>
          <w:sz w:val="24"/>
          <w:szCs w:val="24"/>
        </w:rPr>
      </w:pPr>
    </w:p>
    <w:p w:rsidR="00FE4026" w:rsidRPr="009F1D4F" w:rsidRDefault="00FE4026" w:rsidP="00FE4026">
      <w:pPr>
        <w:widowControl w:val="0"/>
        <w:numPr>
          <w:ilvl w:val="0"/>
          <w:numId w:val="5"/>
        </w:numPr>
        <w:tabs>
          <w:tab w:val="left" w:pos="426"/>
        </w:tabs>
        <w:ind w:left="426" w:hanging="426"/>
        <w:rPr>
          <w:rFonts w:ascii="Calibri" w:hAnsi="Calibri"/>
          <w:sz w:val="24"/>
          <w:szCs w:val="24"/>
          <w:lang w:val="es-MX"/>
        </w:rPr>
      </w:pPr>
      <w:r w:rsidRPr="009F1D4F">
        <w:rPr>
          <w:rFonts w:ascii="Calibri" w:hAnsi="Calibri" w:cs="Tahoma"/>
          <w:color w:val="000000"/>
          <w:sz w:val="24"/>
          <w:szCs w:val="24"/>
        </w:rPr>
        <w:t>Cuando en un siniestro el vehículo de “EL ISEP” sea afectado y exista un responsable identificado y así determinado por el perito de tránsito, se eliminara el cobro del deducible de daños materiales, haya o no haya recuperación, comprometiéndose “EL ISEP” a presentar ante las autoridades competentes la querella correspondiente.</w:t>
      </w:r>
    </w:p>
    <w:p w:rsidR="00E16649" w:rsidRPr="00FE4026" w:rsidRDefault="00E16649">
      <w:pPr>
        <w:rPr>
          <w:lang w:val="es-MX"/>
        </w:rPr>
      </w:pPr>
    </w:p>
    <w:sectPr w:rsidR="00E16649" w:rsidRPr="00FE4026" w:rsidSect="00C33A1D">
      <w:headerReference w:type="default" r:id="rId8"/>
      <w:footerReference w:type="default" r:id="rId9"/>
      <w:pgSz w:w="12240" w:h="15840"/>
      <w:pgMar w:top="720" w:right="1247" w:bottom="561" w:left="1247" w:header="720" w:footer="34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20E" w:rsidRDefault="00B5220E" w:rsidP="00FE4026">
      <w:r>
        <w:separator/>
      </w:r>
    </w:p>
  </w:endnote>
  <w:endnote w:type="continuationSeparator" w:id="0">
    <w:p w:rsidR="00B5220E" w:rsidRDefault="00B5220E" w:rsidP="00FE4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475A" w:rsidRPr="00EA13FC" w:rsidRDefault="00B5220E">
    <w:pPr>
      <w:pStyle w:val="Piedepgina"/>
      <w:jc w:val="right"/>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20E" w:rsidRDefault="00B5220E" w:rsidP="00FE4026">
      <w:r>
        <w:separator/>
      </w:r>
    </w:p>
  </w:footnote>
  <w:footnote w:type="continuationSeparator" w:id="0">
    <w:p w:rsidR="00B5220E" w:rsidRDefault="00B5220E" w:rsidP="00FE40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475A" w:rsidRPr="00F71682" w:rsidRDefault="00FE4026" w:rsidP="00565F72">
    <w:pPr>
      <w:pStyle w:val="1"/>
      <w:jc w:val="center"/>
      <w:rPr>
        <w:rFonts w:ascii="Helvetica" w:hAnsi="Helvetica" w:cs="Tahoma"/>
        <w:color w:val="000080"/>
        <w:sz w:val="28"/>
        <w:szCs w:val="28"/>
      </w:rPr>
    </w:pPr>
    <w:r>
      <w:rPr>
        <w:rFonts w:ascii="Helvetica" w:hAnsi="Helvetica"/>
        <w:noProof/>
        <w:sz w:val="28"/>
        <w:szCs w:val="28"/>
        <w:lang w:val="es-MX" w:eastAsia="es-MX"/>
      </w:rPr>
      <w:drawing>
        <wp:anchor distT="0" distB="0" distL="114300" distR="114300" simplePos="0" relativeHeight="251659264" behindDoc="0" locked="0" layoutInCell="1" allowOverlap="1">
          <wp:simplePos x="0" y="0"/>
          <wp:positionH relativeFrom="column">
            <wp:posOffset>-457200</wp:posOffset>
          </wp:positionH>
          <wp:positionV relativeFrom="paragraph">
            <wp:posOffset>-229235</wp:posOffset>
          </wp:positionV>
          <wp:extent cx="1216660" cy="366395"/>
          <wp:effectExtent l="0" t="0" r="2540" b="0"/>
          <wp:wrapSquare wrapText="bothSides"/>
          <wp:docPr id="3" name="Imagen 3"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OrGobBC 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6660" cy="366395"/>
                  </a:xfrm>
                  <a:prstGeom prst="rect">
                    <a:avLst/>
                  </a:prstGeom>
                  <a:noFill/>
                  <a:ln>
                    <a:noFill/>
                  </a:ln>
                </pic:spPr>
              </pic:pic>
            </a:graphicData>
          </a:graphic>
          <wp14:sizeRelH relativeFrom="page">
            <wp14:pctWidth>0</wp14:pctWidth>
          </wp14:sizeRelH>
          <wp14:sizeRelV relativeFrom="page">
            <wp14:pctHeight>0</wp14:pctHeight>
          </wp14:sizeRelV>
        </wp:anchor>
      </w:drawing>
    </w:r>
    <w:r w:rsidR="00B5220E" w:rsidRPr="00F71682">
      <w:rPr>
        <w:rFonts w:ascii="Helvetica" w:hAnsi="Helvetica" w:cs="Tahoma"/>
        <w:color w:val="000080"/>
        <w:sz w:val="28"/>
        <w:szCs w:val="28"/>
      </w:rPr>
      <w:t>Gobierno del Estado de Baja California</w:t>
    </w:r>
  </w:p>
  <w:p w:rsidR="00C1475A" w:rsidRDefault="00B5220E" w:rsidP="00565F72">
    <w:pPr>
      <w:pStyle w:val="1"/>
      <w:jc w:val="center"/>
      <w:rPr>
        <w:rFonts w:ascii="Helvetica" w:hAnsi="Helvetica" w:cs="Tahoma"/>
        <w:bCs/>
        <w:color w:val="000080"/>
      </w:rPr>
    </w:pPr>
    <w:r w:rsidRPr="003140C1">
      <w:rPr>
        <w:rFonts w:ascii="Helvetica" w:hAnsi="Helvetica" w:cs="Tahoma"/>
        <w:bCs/>
        <w:color w:val="000080"/>
      </w:rPr>
      <w:t xml:space="preserve">COMITÉ </w:t>
    </w:r>
    <w:r w:rsidRPr="00963C9E">
      <w:rPr>
        <w:rFonts w:ascii="Helvetica" w:hAnsi="Helvetica" w:cs="Tahoma"/>
        <w:bCs/>
        <w:color w:val="000080"/>
      </w:rPr>
      <w:t>DE ADQUISICIONES, ARREND</w:t>
    </w:r>
    <w:r w:rsidRPr="00963C9E">
      <w:rPr>
        <w:rFonts w:ascii="Helvetica" w:hAnsi="Helvetica" w:cs="Tahoma"/>
        <w:bCs/>
        <w:color w:val="000080"/>
      </w:rPr>
      <w:t xml:space="preserve">AMIENTOS Y SERVICIOS DEL PODER EJECUTIVO DEL </w:t>
    </w:r>
  </w:p>
  <w:p w:rsidR="00C1475A" w:rsidRPr="009F2C0E" w:rsidRDefault="00B5220E" w:rsidP="00565F72">
    <w:pPr>
      <w:pStyle w:val="1"/>
      <w:jc w:val="center"/>
      <w:rPr>
        <w:rFonts w:ascii="Helvetica" w:hAnsi="Helvetica" w:cs="Tahoma"/>
        <w:bCs/>
        <w:color w:val="000080"/>
        <w:sz w:val="24"/>
        <w:szCs w:val="24"/>
      </w:rPr>
    </w:pPr>
    <w:r w:rsidRPr="00963C9E">
      <w:rPr>
        <w:rFonts w:ascii="Helvetica" w:hAnsi="Helvetica" w:cs="Tahoma"/>
        <w:bCs/>
        <w:color w:val="000080"/>
      </w:rPr>
      <w:t>GOBIERNO DEL ESTADO DE BAJA CALIFORNIA</w:t>
    </w:r>
  </w:p>
  <w:p w:rsidR="00C1475A" w:rsidRPr="009F2C0E" w:rsidRDefault="00B5220E" w:rsidP="00565F72">
    <w:pPr>
      <w:pStyle w:val="1"/>
      <w:jc w:val="center"/>
      <w:rPr>
        <w:rFonts w:ascii="Helvetica" w:hAnsi="Helvetica" w:cs="Tahoma"/>
        <w:bCs/>
        <w:color w:val="000080"/>
        <w:sz w:val="24"/>
        <w:szCs w:val="24"/>
      </w:rPr>
    </w:pPr>
  </w:p>
  <w:p w:rsidR="00C1475A" w:rsidRDefault="00FE4026">
    <w:pPr>
      <w:pStyle w:val="Encabezado"/>
    </w:pPr>
    <w:r>
      <w:rPr>
        <w:rFonts w:ascii="Helvetica" w:hAnsi="Helvetica" w:cs="Tahoma"/>
        <w:bCs/>
        <w:noProof/>
        <w:color w:val="000080"/>
        <w:sz w:val="24"/>
        <w:szCs w:val="24"/>
        <w:lang w:val="es-MX" w:eastAsia="es-MX"/>
      </w:rPr>
      <mc:AlternateContent>
        <mc:Choice Requires="wpc">
          <w:drawing>
            <wp:inline distT="0" distB="0" distL="0" distR="0">
              <wp:extent cx="6057900" cy="114300"/>
              <wp:effectExtent l="0" t="28575" r="0" b="0"/>
              <wp:docPr id="2" name="Lienzo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flipV="1">
                          <a:off x="33010" y="0"/>
                          <a:ext cx="5681968" cy="33062"/>
                        </a:xfrm>
                        <a:prstGeom prst="line">
                          <a:avLst/>
                        </a:prstGeom>
                        <a:noFill/>
                        <a:ln w="57150" cmpd="thinThick">
                          <a:solidFill>
                            <a:srgbClr val="80808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Lienzo 2" o:spid="_x0000_s1026" editas="canvas" style="width:477pt;height:9pt;mso-position-horizontal-relative:char;mso-position-vertical-relative:line" coordsize="60579,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579;height:1143;visibility:visible;mso-wrap-style:square">
                <v:fill o:detectmouseclick="t"/>
                <v:path o:connecttype="none"/>
              </v:shape>
              <v:line id="Line 3" o:spid="_x0000_s1028" style="position:absolute;flip:y;visibility:visible;mso-wrap-style:square" from="330,0" to="57149,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xHjb0AAADaAAAADwAAAGRycy9kb3ducmV2LnhtbERP32vCMBB+H/g/hBN8m+kqbFKNMgTB&#10;13br2OPR3NKy5hKaaOt/bwqDPR0f38/bHyfbixsNoXOs4GWdgSBunO7YKPj8OD9vQYSIrLF3TAru&#10;FOB4WDztsdBu5JJuVTQihXAoUEEboy+kDE1LFsPaeeLE/bjBYkxwMFIPOKZw28s8y16lxY5TQ4ue&#10;Ti01v9XVKijf8pxqzDayNOb7yza+juiVWi2n9x2ISFP8F/+5LzrNh/mV+crDA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L5cR429AAAA2gAAAA8AAAAAAAAAAAAAAAAAoQIA&#10;AGRycy9kb3ducmV2LnhtbFBLBQYAAAAABAAEAPkAAACLAwAAAAA=&#10;" strokecolor="gray" strokeweight="4.5pt">
                <v:stroke linestyle="thinThick"/>
              </v:line>
              <w10:anchorlock/>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767FA"/>
    <w:multiLevelType w:val="hybridMultilevel"/>
    <w:tmpl w:val="661CCCE8"/>
    <w:lvl w:ilvl="0" w:tplc="04090001">
      <w:start w:val="1"/>
      <w:numFmt w:val="bullet"/>
      <w:lvlText w:val=""/>
      <w:lvlJc w:val="left"/>
      <w:pPr>
        <w:tabs>
          <w:tab w:val="num" w:pos="720"/>
        </w:tabs>
        <w:ind w:left="720" w:hanging="360"/>
      </w:pPr>
      <w:rPr>
        <w:rFonts w:ascii="Symbol" w:hAnsi="Symbol" w:hint="default"/>
      </w:rPr>
    </w:lvl>
    <w:lvl w:ilvl="1" w:tplc="BD46965A">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C27614A"/>
    <w:multiLevelType w:val="hybridMultilevel"/>
    <w:tmpl w:val="89724536"/>
    <w:lvl w:ilvl="0" w:tplc="0C0A0011">
      <w:start w:val="1"/>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2">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4552CA3"/>
    <w:multiLevelType w:val="hybridMultilevel"/>
    <w:tmpl w:val="54E0A2A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72EB783D"/>
    <w:multiLevelType w:val="hybridMultilevel"/>
    <w:tmpl w:val="187E0E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026"/>
    <w:rsid w:val="00B5220E"/>
    <w:rsid w:val="00E16649"/>
    <w:rsid w:val="00FE40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4026"/>
    <w:pPr>
      <w:spacing w:after="0" w:line="240" w:lineRule="auto"/>
    </w:pPr>
    <w:rPr>
      <w:rFonts w:ascii="Times New Roman" w:eastAsia="Times New Roman" w:hAnsi="Times New Roman" w:cs="Times New Roman"/>
      <w:sz w:val="20"/>
      <w:szCs w:val="20"/>
      <w:lang w:val="es-ES_tradnl"/>
    </w:rPr>
  </w:style>
  <w:style w:type="paragraph" w:styleId="Ttulo1">
    <w:name w:val="heading 1"/>
    <w:basedOn w:val="Normal"/>
    <w:next w:val="Normal"/>
    <w:link w:val="Ttulo1Car"/>
    <w:qFormat/>
    <w:rsid w:val="00FE4026"/>
    <w:pPr>
      <w:keepNext/>
      <w:spacing w:before="240" w:after="60"/>
      <w:outlineLvl w:val="0"/>
    </w:pPr>
    <w:rPr>
      <w:rFonts w:ascii="Cambria" w:hAnsi="Cambria"/>
      <w:b/>
      <w:bCs/>
      <w:kern w:val="32"/>
      <w:sz w:val="32"/>
      <w:szCs w:val="32"/>
    </w:rPr>
  </w:style>
  <w:style w:type="paragraph" w:styleId="Ttulo4">
    <w:name w:val="heading 4"/>
    <w:basedOn w:val="Normal"/>
    <w:next w:val="Normal"/>
    <w:link w:val="Ttulo4Car"/>
    <w:qFormat/>
    <w:rsid w:val="00FE4026"/>
    <w:pPr>
      <w:keepNext/>
      <w:ind w:left="5040" w:firstLine="720"/>
      <w:jc w:val="right"/>
      <w:outlineLvl w:val="3"/>
    </w:pPr>
    <w:rPr>
      <w:rFonts w:ascii="AvantGarde" w:hAnsi="AvantGarde"/>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E4026"/>
    <w:rPr>
      <w:rFonts w:ascii="Cambria" w:eastAsia="Times New Roman" w:hAnsi="Cambria" w:cs="Times New Roman"/>
      <w:b/>
      <w:bCs/>
      <w:kern w:val="32"/>
      <w:sz w:val="32"/>
      <w:szCs w:val="32"/>
      <w:lang w:val="es-ES_tradnl"/>
    </w:rPr>
  </w:style>
  <w:style w:type="character" w:customStyle="1" w:styleId="Ttulo4Car">
    <w:name w:val="Título 4 Car"/>
    <w:basedOn w:val="Fuentedeprrafopredeter"/>
    <w:link w:val="Ttulo4"/>
    <w:rsid w:val="00FE4026"/>
    <w:rPr>
      <w:rFonts w:ascii="AvantGarde" w:eastAsia="Times New Roman" w:hAnsi="AvantGarde" w:cs="Times New Roman"/>
      <w:b/>
      <w:sz w:val="18"/>
      <w:szCs w:val="20"/>
      <w:lang w:val="es-ES_tradnl"/>
    </w:rPr>
  </w:style>
  <w:style w:type="paragraph" w:styleId="Piedepgina">
    <w:name w:val="footer"/>
    <w:basedOn w:val="Normal"/>
    <w:link w:val="PiedepginaCar"/>
    <w:rsid w:val="00FE4026"/>
    <w:pPr>
      <w:tabs>
        <w:tab w:val="center" w:pos="4320"/>
        <w:tab w:val="right" w:pos="8640"/>
      </w:tabs>
    </w:pPr>
  </w:style>
  <w:style w:type="character" w:customStyle="1" w:styleId="PiedepginaCar">
    <w:name w:val="Pie de página Car"/>
    <w:basedOn w:val="Fuentedeprrafopredeter"/>
    <w:link w:val="Piedepgina"/>
    <w:rsid w:val="00FE4026"/>
    <w:rPr>
      <w:rFonts w:ascii="Times New Roman" w:eastAsia="Times New Roman" w:hAnsi="Times New Roman" w:cs="Times New Roman"/>
      <w:sz w:val="20"/>
      <w:szCs w:val="20"/>
      <w:lang w:val="es-ES_tradnl"/>
    </w:rPr>
  </w:style>
  <w:style w:type="paragraph" w:customStyle="1" w:styleId="3">
    <w:name w:val="3"/>
    <w:basedOn w:val="Normal"/>
    <w:rsid w:val="00FE4026"/>
    <w:pPr>
      <w:ind w:left="1440" w:hanging="288"/>
      <w:jc w:val="both"/>
    </w:pPr>
    <w:rPr>
      <w:rFonts w:ascii="AvantGarde" w:hAnsi="AvantGarde"/>
    </w:rPr>
  </w:style>
  <w:style w:type="paragraph" w:styleId="Encabezado">
    <w:name w:val="header"/>
    <w:basedOn w:val="Normal"/>
    <w:link w:val="EncabezadoCar"/>
    <w:rsid w:val="00FE4026"/>
    <w:pPr>
      <w:tabs>
        <w:tab w:val="center" w:pos="4320"/>
        <w:tab w:val="right" w:pos="8640"/>
      </w:tabs>
    </w:pPr>
  </w:style>
  <w:style w:type="character" w:customStyle="1" w:styleId="EncabezadoCar">
    <w:name w:val="Encabezado Car"/>
    <w:basedOn w:val="Fuentedeprrafopredeter"/>
    <w:link w:val="Encabezado"/>
    <w:rsid w:val="00FE4026"/>
    <w:rPr>
      <w:rFonts w:ascii="Times New Roman" w:eastAsia="Times New Roman" w:hAnsi="Times New Roman" w:cs="Times New Roman"/>
      <w:sz w:val="20"/>
      <w:szCs w:val="20"/>
      <w:lang w:val="es-ES_tradnl"/>
    </w:rPr>
  </w:style>
  <w:style w:type="paragraph" w:customStyle="1" w:styleId="1">
    <w:name w:val="1"/>
    <w:basedOn w:val="Normal"/>
    <w:rsid w:val="00FE4026"/>
    <w:rPr>
      <w:rFonts w:ascii="AvantGarde" w:hAnsi="AvantGarde"/>
      <w:b/>
    </w:rPr>
  </w:style>
  <w:style w:type="character" w:styleId="Nmerodepgina">
    <w:name w:val="page number"/>
    <w:basedOn w:val="Fuentedeprrafopredeter"/>
    <w:rsid w:val="00FE4026"/>
  </w:style>
  <w:style w:type="paragraph" w:styleId="Prrafodelista">
    <w:name w:val="List Paragraph"/>
    <w:basedOn w:val="Normal"/>
    <w:uiPriority w:val="34"/>
    <w:qFormat/>
    <w:rsid w:val="00FE4026"/>
    <w:pPr>
      <w:ind w:left="708"/>
    </w:pPr>
  </w:style>
  <w:style w:type="paragraph" w:styleId="Textoindependiente2">
    <w:name w:val="Body Text 2"/>
    <w:basedOn w:val="Normal"/>
    <w:link w:val="Textoindependiente2Car"/>
    <w:rsid w:val="00FE4026"/>
    <w:pPr>
      <w:jc w:val="both"/>
    </w:pPr>
    <w:rPr>
      <w:rFonts w:ascii="Tahoma" w:hAnsi="Tahoma"/>
      <w:sz w:val="22"/>
      <w:lang w:val="es-MX"/>
    </w:rPr>
  </w:style>
  <w:style w:type="character" w:customStyle="1" w:styleId="Textoindependiente2Car">
    <w:name w:val="Texto independiente 2 Car"/>
    <w:basedOn w:val="Fuentedeprrafopredeter"/>
    <w:link w:val="Textoindependiente2"/>
    <w:rsid w:val="00FE4026"/>
    <w:rPr>
      <w:rFonts w:ascii="Tahoma" w:eastAsia="Times New Roman" w:hAnsi="Tahoma"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4026"/>
    <w:pPr>
      <w:spacing w:after="0" w:line="240" w:lineRule="auto"/>
    </w:pPr>
    <w:rPr>
      <w:rFonts w:ascii="Times New Roman" w:eastAsia="Times New Roman" w:hAnsi="Times New Roman" w:cs="Times New Roman"/>
      <w:sz w:val="20"/>
      <w:szCs w:val="20"/>
      <w:lang w:val="es-ES_tradnl"/>
    </w:rPr>
  </w:style>
  <w:style w:type="paragraph" w:styleId="Ttulo1">
    <w:name w:val="heading 1"/>
    <w:basedOn w:val="Normal"/>
    <w:next w:val="Normal"/>
    <w:link w:val="Ttulo1Car"/>
    <w:qFormat/>
    <w:rsid w:val="00FE4026"/>
    <w:pPr>
      <w:keepNext/>
      <w:spacing w:before="240" w:after="60"/>
      <w:outlineLvl w:val="0"/>
    </w:pPr>
    <w:rPr>
      <w:rFonts w:ascii="Cambria" w:hAnsi="Cambria"/>
      <w:b/>
      <w:bCs/>
      <w:kern w:val="32"/>
      <w:sz w:val="32"/>
      <w:szCs w:val="32"/>
    </w:rPr>
  </w:style>
  <w:style w:type="paragraph" w:styleId="Ttulo4">
    <w:name w:val="heading 4"/>
    <w:basedOn w:val="Normal"/>
    <w:next w:val="Normal"/>
    <w:link w:val="Ttulo4Car"/>
    <w:qFormat/>
    <w:rsid w:val="00FE4026"/>
    <w:pPr>
      <w:keepNext/>
      <w:ind w:left="5040" w:firstLine="720"/>
      <w:jc w:val="right"/>
      <w:outlineLvl w:val="3"/>
    </w:pPr>
    <w:rPr>
      <w:rFonts w:ascii="AvantGarde" w:hAnsi="AvantGarde"/>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E4026"/>
    <w:rPr>
      <w:rFonts w:ascii="Cambria" w:eastAsia="Times New Roman" w:hAnsi="Cambria" w:cs="Times New Roman"/>
      <w:b/>
      <w:bCs/>
      <w:kern w:val="32"/>
      <w:sz w:val="32"/>
      <w:szCs w:val="32"/>
      <w:lang w:val="es-ES_tradnl"/>
    </w:rPr>
  </w:style>
  <w:style w:type="character" w:customStyle="1" w:styleId="Ttulo4Car">
    <w:name w:val="Título 4 Car"/>
    <w:basedOn w:val="Fuentedeprrafopredeter"/>
    <w:link w:val="Ttulo4"/>
    <w:rsid w:val="00FE4026"/>
    <w:rPr>
      <w:rFonts w:ascii="AvantGarde" w:eastAsia="Times New Roman" w:hAnsi="AvantGarde" w:cs="Times New Roman"/>
      <w:b/>
      <w:sz w:val="18"/>
      <w:szCs w:val="20"/>
      <w:lang w:val="es-ES_tradnl"/>
    </w:rPr>
  </w:style>
  <w:style w:type="paragraph" w:styleId="Piedepgina">
    <w:name w:val="footer"/>
    <w:basedOn w:val="Normal"/>
    <w:link w:val="PiedepginaCar"/>
    <w:rsid w:val="00FE4026"/>
    <w:pPr>
      <w:tabs>
        <w:tab w:val="center" w:pos="4320"/>
        <w:tab w:val="right" w:pos="8640"/>
      </w:tabs>
    </w:pPr>
  </w:style>
  <w:style w:type="character" w:customStyle="1" w:styleId="PiedepginaCar">
    <w:name w:val="Pie de página Car"/>
    <w:basedOn w:val="Fuentedeprrafopredeter"/>
    <w:link w:val="Piedepgina"/>
    <w:rsid w:val="00FE4026"/>
    <w:rPr>
      <w:rFonts w:ascii="Times New Roman" w:eastAsia="Times New Roman" w:hAnsi="Times New Roman" w:cs="Times New Roman"/>
      <w:sz w:val="20"/>
      <w:szCs w:val="20"/>
      <w:lang w:val="es-ES_tradnl"/>
    </w:rPr>
  </w:style>
  <w:style w:type="paragraph" w:customStyle="1" w:styleId="3">
    <w:name w:val="3"/>
    <w:basedOn w:val="Normal"/>
    <w:rsid w:val="00FE4026"/>
    <w:pPr>
      <w:ind w:left="1440" w:hanging="288"/>
      <w:jc w:val="both"/>
    </w:pPr>
    <w:rPr>
      <w:rFonts w:ascii="AvantGarde" w:hAnsi="AvantGarde"/>
    </w:rPr>
  </w:style>
  <w:style w:type="paragraph" w:styleId="Encabezado">
    <w:name w:val="header"/>
    <w:basedOn w:val="Normal"/>
    <w:link w:val="EncabezadoCar"/>
    <w:rsid w:val="00FE4026"/>
    <w:pPr>
      <w:tabs>
        <w:tab w:val="center" w:pos="4320"/>
        <w:tab w:val="right" w:pos="8640"/>
      </w:tabs>
    </w:pPr>
  </w:style>
  <w:style w:type="character" w:customStyle="1" w:styleId="EncabezadoCar">
    <w:name w:val="Encabezado Car"/>
    <w:basedOn w:val="Fuentedeprrafopredeter"/>
    <w:link w:val="Encabezado"/>
    <w:rsid w:val="00FE4026"/>
    <w:rPr>
      <w:rFonts w:ascii="Times New Roman" w:eastAsia="Times New Roman" w:hAnsi="Times New Roman" w:cs="Times New Roman"/>
      <w:sz w:val="20"/>
      <w:szCs w:val="20"/>
      <w:lang w:val="es-ES_tradnl"/>
    </w:rPr>
  </w:style>
  <w:style w:type="paragraph" w:customStyle="1" w:styleId="1">
    <w:name w:val="1"/>
    <w:basedOn w:val="Normal"/>
    <w:rsid w:val="00FE4026"/>
    <w:rPr>
      <w:rFonts w:ascii="AvantGarde" w:hAnsi="AvantGarde"/>
      <w:b/>
    </w:rPr>
  </w:style>
  <w:style w:type="character" w:styleId="Nmerodepgina">
    <w:name w:val="page number"/>
    <w:basedOn w:val="Fuentedeprrafopredeter"/>
    <w:rsid w:val="00FE4026"/>
  </w:style>
  <w:style w:type="paragraph" w:styleId="Prrafodelista">
    <w:name w:val="List Paragraph"/>
    <w:basedOn w:val="Normal"/>
    <w:uiPriority w:val="34"/>
    <w:qFormat/>
    <w:rsid w:val="00FE4026"/>
    <w:pPr>
      <w:ind w:left="708"/>
    </w:pPr>
  </w:style>
  <w:style w:type="paragraph" w:styleId="Textoindependiente2">
    <w:name w:val="Body Text 2"/>
    <w:basedOn w:val="Normal"/>
    <w:link w:val="Textoindependiente2Car"/>
    <w:rsid w:val="00FE4026"/>
    <w:pPr>
      <w:jc w:val="both"/>
    </w:pPr>
    <w:rPr>
      <w:rFonts w:ascii="Tahoma" w:hAnsi="Tahoma"/>
      <w:sz w:val="22"/>
      <w:lang w:val="es-MX"/>
    </w:rPr>
  </w:style>
  <w:style w:type="character" w:customStyle="1" w:styleId="Textoindependiente2Car">
    <w:name w:val="Texto independiente 2 Car"/>
    <w:basedOn w:val="Fuentedeprrafopredeter"/>
    <w:link w:val="Textoindependiente2"/>
    <w:rsid w:val="00FE4026"/>
    <w:rPr>
      <w:rFonts w:ascii="Tahoma" w:eastAsia="Times New Roman" w:hAnsi="Tahoma"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1073</Words>
  <Characters>5903</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LINO</dc:creator>
  <cp:lastModifiedBy>LINO</cp:lastModifiedBy>
  <cp:revision>1</cp:revision>
  <dcterms:created xsi:type="dcterms:W3CDTF">2017-07-14T23:50:00Z</dcterms:created>
  <dcterms:modified xsi:type="dcterms:W3CDTF">2017-07-14T23:54:00Z</dcterms:modified>
</cp:coreProperties>
</file>